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08" w:rsidRDefault="00DE3A0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00189" w:rsidRDefault="00CD0B7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MINISTERUL EDUCAȚIEI ȘI CERCETĂRII AL REPUBLICII MOLDOVA</w:t>
      </w:r>
    </w:p>
    <w:p w:rsidR="00E00189" w:rsidRDefault="00E0018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00189" w:rsidRDefault="00E0018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00189" w:rsidRDefault="00CD0B7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Discutat la Ședința Comisiei Metodice 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APROBAT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</w:t>
      </w:r>
    </w:p>
    <w:p w:rsidR="00E00189" w:rsidRDefault="00CD0B7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29369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Șeful Comisiei metodice</w:t>
      </w:r>
    </w:p>
    <w:p w:rsidR="00E00189" w:rsidRDefault="00E0018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00189" w:rsidRDefault="00E0018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00189" w:rsidRDefault="00CD0B7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PROIECT DIDACTIC DE LUNGĂ DURATĂ</w:t>
      </w:r>
    </w:p>
    <w:p w:rsidR="00E00189" w:rsidRDefault="00CD0B7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LA DISCIPLINA ȘCOLARĂ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DEZVOLTARE PERSONALĂ</w:t>
      </w:r>
    </w:p>
    <w:p w:rsidR="00E00189" w:rsidRDefault="00CD0B7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(elaborat de Grupul de lucru</w:t>
      </w:r>
      <w:r w:rsidR="00F47F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 ordinului MEC nr.1544/2023</w:t>
      </w:r>
      <w:r w:rsidR="00F47F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0189" w:rsidRDefault="00CD0B7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baza curriculumului la disciplină, aprobat prin ordinul MEC nr.1124 din 20 iulie 2018)</w:t>
      </w:r>
    </w:p>
    <w:p w:rsidR="00E00189" w:rsidRDefault="00E0018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00189" w:rsidRDefault="00CD0B7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Clasa a VIII - a</w:t>
      </w:r>
    </w:p>
    <w:p w:rsidR="00E00189" w:rsidRDefault="00E0018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E00189" w:rsidRDefault="00CD0B7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Anul de studii:_________________</w:t>
      </w:r>
    </w:p>
    <w:p w:rsidR="00E00189" w:rsidRDefault="00E0018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189" w:rsidRDefault="00E0018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189" w:rsidRDefault="00CD0B7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Instituția de învățământ _____________________________________ Localitatea  ______________________________</w:t>
      </w:r>
    </w:p>
    <w:p w:rsidR="00E00189" w:rsidRDefault="00E0018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189" w:rsidRDefault="00CD0B7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Numele, prenumele cadrului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didactic 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Grad didactic ____________________________</w:t>
      </w:r>
    </w:p>
    <w:p w:rsidR="00E00189" w:rsidRDefault="00E0018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189" w:rsidRDefault="00E0018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189" w:rsidRDefault="00E0018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38A" w:rsidRDefault="00C5638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189" w:rsidRDefault="00CD0B7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       </w:t>
      </w:r>
    </w:p>
    <w:p w:rsidR="00E00189" w:rsidRPr="00C84538" w:rsidRDefault="00CD0B7D" w:rsidP="00C8453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791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ADMINISTRAREA DISCIPLINEI</w:t>
      </w:r>
    </w:p>
    <w:tbl>
      <w:tblPr>
        <w:tblStyle w:val="a5"/>
        <w:tblW w:w="13763" w:type="dxa"/>
        <w:jc w:val="center"/>
        <w:tblInd w:w="0" w:type="dxa"/>
        <w:tblBorders>
          <w:top w:val="single" w:sz="12" w:space="0" w:color="2D74B5"/>
          <w:left w:val="single" w:sz="12" w:space="0" w:color="2D74B5"/>
          <w:bottom w:val="single" w:sz="12" w:space="0" w:color="2D74B5"/>
          <w:right w:val="single" w:sz="12" w:space="0" w:color="2D74B5"/>
          <w:insideH w:val="single" w:sz="12" w:space="0" w:color="2D74B5"/>
          <w:insideV w:val="single" w:sz="12" w:space="0" w:color="2D74B5"/>
        </w:tblBorders>
        <w:tblLayout w:type="fixed"/>
        <w:tblLook w:val="0000" w:firstRow="0" w:lastRow="0" w:firstColumn="0" w:lastColumn="0" w:noHBand="0" w:noVBand="0"/>
      </w:tblPr>
      <w:tblGrid>
        <w:gridCol w:w="7614"/>
        <w:gridCol w:w="1275"/>
        <w:gridCol w:w="4874"/>
      </w:tblGrid>
      <w:tr w:rsidR="00E00189" w:rsidRPr="0029369A">
        <w:trPr>
          <w:cantSplit/>
          <w:trHeight w:val="277"/>
          <w:jc w:val="center"/>
        </w:trPr>
        <w:tc>
          <w:tcPr>
            <w:tcW w:w="7614" w:type="dxa"/>
            <w:vMerge w:val="restart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0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Unități de învățare</w:t>
            </w:r>
          </w:p>
        </w:tc>
        <w:tc>
          <w:tcPr>
            <w:tcW w:w="1275" w:type="dxa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57" w:right="2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Clasa</w:t>
            </w:r>
          </w:p>
        </w:tc>
        <w:tc>
          <w:tcPr>
            <w:tcW w:w="4874" w:type="dxa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57" w:right="2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Unități de conținut la discreția profesorului (din ghidul profesorului)</w:t>
            </w:r>
          </w:p>
        </w:tc>
      </w:tr>
      <w:tr w:rsidR="00E00189" w:rsidRPr="00C84538">
        <w:trPr>
          <w:cantSplit/>
          <w:trHeight w:val="274"/>
          <w:jc w:val="center"/>
        </w:trPr>
        <w:tc>
          <w:tcPr>
            <w:tcW w:w="7614" w:type="dxa"/>
            <w:vMerge/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4874" w:type="dxa"/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C84538">
        <w:trPr>
          <w:trHeight w:val="277"/>
          <w:jc w:val="center"/>
        </w:trPr>
        <w:tc>
          <w:tcPr>
            <w:tcW w:w="7614" w:type="dxa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Evaluare inițială. Lecție de consolidare a cunoștințelor..</w:t>
            </w:r>
          </w:p>
        </w:tc>
        <w:tc>
          <w:tcPr>
            <w:tcW w:w="1275" w:type="dxa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4" w:type="dxa"/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C84538">
        <w:trPr>
          <w:trHeight w:val="277"/>
          <w:jc w:val="center"/>
        </w:trPr>
        <w:tc>
          <w:tcPr>
            <w:tcW w:w="7614" w:type="dxa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Identitatea personală și </w:t>
            </w: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relaționarea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armonioasă</w:t>
            </w:r>
          </w:p>
        </w:tc>
        <w:tc>
          <w:tcPr>
            <w:tcW w:w="1275" w:type="dxa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4" w:type="dxa"/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C84538">
        <w:trPr>
          <w:trHeight w:val="274"/>
          <w:jc w:val="center"/>
        </w:trPr>
        <w:tc>
          <w:tcPr>
            <w:tcW w:w="7614" w:type="dxa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Asigurarea calității vieții</w:t>
            </w:r>
          </w:p>
        </w:tc>
        <w:tc>
          <w:tcPr>
            <w:tcW w:w="1275" w:type="dxa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4" w:type="dxa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</w:t>
            </w:r>
          </w:p>
        </w:tc>
      </w:tr>
      <w:tr w:rsidR="00E00189" w:rsidRPr="00C84538">
        <w:trPr>
          <w:trHeight w:val="277"/>
          <w:jc w:val="center"/>
        </w:trPr>
        <w:tc>
          <w:tcPr>
            <w:tcW w:w="7614" w:type="dxa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Modul de viață sănătos</w:t>
            </w:r>
          </w:p>
        </w:tc>
        <w:tc>
          <w:tcPr>
            <w:tcW w:w="1275" w:type="dxa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4" w:type="dxa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</w:t>
            </w:r>
          </w:p>
        </w:tc>
      </w:tr>
      <w:tr w:rsidR="00E00189" w:rsidRPr="00C84538">
        <w:trPr>
          <w:trHeight w:val="50"/>
          <w:jc w:val="center"/>
        </w:trPr>
        <w:tc>
          <w:tcPr>
            <w:tcW w:w="7614" w:type="dxa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Proiectarea carierei profesionale și dezvoltarea spiritului antreprenorial</w:t>
            </w:r>
          </w:p>
        </w:tc>
        <w:tc>
          <w:tcPr>
            <w:tcW w:w="1275" w:type="dxa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4" w:type="dxa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</w:t>
            </w:r>
          </w:p>
        </w:tc>
      </w:tr>
      <w:tr w:rsidR="00E00189" w:rsidRPr="00C84538">
        <w:trPr>
          <w:trHeight w:val="50"/>
          <w:jc w:val="center"/>
        </w:trPr>
        <w:tc>
          <w:tcPr>
            <w:tcW w:w="7614" w:type="dxa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Securitatea personală</w:t>
            </w:r>
          </w:p>
        </w:tc>
        <w:tc>
          <w:tcPr>
            <w:tcW w:w="1275" w:type="dxa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4" w:type="dxa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</w:t>
            </w:r>
          </w:p>
        </w:tc>
      </w:tr>
      <w:tr w:rsidR="00E00189" w:rsidRPr="00C84538">
        <w:trPr>
          <w:trHeight w:val="50"/>
          <w:jc w:val="center"/>
        </w:trPr>
        <w:tc>
          <w:tcPr>
            <w:tcW w:w="7614" w:type="dxa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Evaluare sumativă (finală).</w:t>
            </w:r>
          </w:p>
        </w:tc>
        <w:tc>
          <w:tcPr>
            <w:tcW w:w="1275" w:type="dxa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4" w:type="dxa"/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C84538">
        <w:trPr>
          <w:trHeight w:val="50"/>
          <w:jc w:val="center"/>
        </w:trPr>
        <w:tc>
          <w:tcPr>
            <w:tcW w:w="7614" w:type="dxa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275" w:type="dxa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32 ore</w:t>
            </w:r>
          </w:p>
        </w:tc>
        <w:tc>
          <w:tcPr>
            <w:tcW w:w="4874" w:type="dxa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 ore</w:t>
            </w:r>
          </w:p>
        </w:tc>
      </w:tr>
    </w:tbl>
    <w:p w:rsidR="00C84538" w:rsidRDefault="00C84538" w:rsidP="00C8453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00189" w:rsidRPr="00C84538" w:rsidRDefault="00CD0B7D" w:rsidP="00C8453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5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Manualul recomandat:</w:t>
      </w:r>
    </w:p>
    <w:tbl>
      <w:tblPr>
        <w:tblStyle w:val="a6"/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6634"/>
        <w:gridCol w:w="2268"/>
        <w:gridCol w:w="2551"/>
        <w:gridCol w:w="1418"/>
      </w:tblGrid>
      <w:tr w:rsidR="00E00189" w:rsidRPr="00C84538" w:rsidTr="00C84538">
        <w:tc>
          <w:tcPr>
            <w:tcW w:w="1588" w:type="dxa"/>
            <w:shd w:val="clear" w:color="auto" w:fill="EEECE1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3" w:themeFill="background2" w:themeFillShade="E6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Clasa </w:t>
            </w:r>
          </w:p>
        </w:tc>
        <w:tc>
          <w:tcPr>
            <w:tcW w:w="6634" w:type="dxa"/>
            <w:shd w:val="clear" w:color="auto" w:fill="EEECE1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3" w:themeFill="background2" w:themeFillShade="E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Titlul </w:t>
            </w:r>
          </w:p>
        </w:tc>
        <w:tc>
          <w:tcPr>
            <w:tcW w:w="2268" w:type="dxa"/>
            <w:shd w:val="clear" w:color="auto" w:fill="EEECE1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3" w:themeFill="background2" w:themeFillShade="E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Autori </w:t>
            </w:r>
          </w:p>
        </w:tc>
        <w:tc>
          <w:tcPr>
            <w:tcW w:w="2551" w:type="dxa"/>
            <w:shd w:val="clear" w:color="auto" w:fill="EEECE1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3" w:themeFill="background2" w:themeFillShade="E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Editura </w:t>
            </w:r>
          </w:p>
        </w:tc>
        <w:tc>
          <w:tcPr>
            <w:tcW w:w="1418" w:type="dxa"/>
            <w:shd w:val="clear" w:color="auto" w:fill="EEECE1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3" w:themeFill="background2" w:themeFillShade="E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Anul ediției </w:t>
            </w:r>
          </w:p>
        </w:tc>
      </w:tr>
      <w:tr w:rsidR="00E00189" w:rsidRPr="00C84538" w:rsidTr="00C84538">
        <w:tc>
          <w:tcPr>
            <w:tcW w:w="1588" w:type="dxa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VIII- a</w:t>
            </w:r>
          </w:p>
        </w:tc>
        <w:tc>
          <w:tcPr>
            <w:tcW w:w="6634" w:type="dxa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Dezvoltare personală. Ghidul profesorului. Clasa a VIII-a, aprobat prin ordinul Ministerului Educației, Culturii și Cercetării nr.463 din 26 februarie 20</w:t>
            </w:r>
          </w:p>
        </w:tc>
        <w:tc>
          <w:tcPr>
            <w:tcW w:w="2268" w:type="dxa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Corinna</w:t>
            </w:r>
            <w:proofErr w:type="spellEnd"/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Borer</w:t>
            </w:r>
            <w:proofErr w:type="spellEnd"/>
            <w:r w:rsidR="00F4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Peter </w:t>
            </w:r>
            <w:proofErr w:type="spellStart"/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Holzwarth</w:t>
            </w:r>
            <w:proofErr w:type="spellEnd"/>
            <w:r w:rsidR="00F4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Martin Keller</w:t>
            </w:r>
            <w:r w:rsidR="00F4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Wiltrud</w:t>
            </w:r>
            <w:proofErr w:type="spellEnd"/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Weidinger</w:t>
            </w:r>
            <w:proofErr w:type="spellEnd"/>
          </w:p>
        </w:tc>
        <w:tc>
          <w:tcPr>
            <w:tcW w:w="2551" w:type="dxa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Universitatea Pedagogică din Zurich (Zurich University of Teacher Education)</w:t>
            </w:r>
          </w:p>
        </w:tc>
        <w:tc>
          <w:tcPr>
            <w:tcW w:w="1418" w:type="dxa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2020</w:t>
            </w:r>
          </w:p>
        </w:tc>
      </w:tr>
    </w:tbl>
    <w:p w:rsidR="00E00189" w:rsidRPr="00C84538" w:rsidRDefault="00CD0B7D" w:rsidP="00C8453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79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5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Notă:</w:t>
      </w:r>
      <w:r w:rsidRPr="00C8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Profesorul este în drept să selecteze </w:t>
      </w:r>
      <w:r w:rsidRPr="00C845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unitățile de conținut </w:t>
      </w:r>
      <w:r w:rsidRPr="00C84538">
        <w:rPr>
          <w:rFonts w:ascii="Times New Roman" w:eastAsia="Times New Roman" w:hAnsi="Times New Roman" w:cs="Times New Roman"/>
          <w:color w:val="000000"/>
          <w:sz w:val="24"/>
          <w:szCs w:val="24"/>
        </w:rPr>
        <w:t>din Curriculumul la disciplina Dezvoltarea personală</w:t>
      </w:r>
      <w:r w:rsidRPr="00C845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8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sau </w:t>
      </w:r>
      <w:r w:rsidR="00F47F70">
        <w:rPr>
          <w:rFonts w:ascii="Times New Roman" w:eastAsia="Times New Roman" w:hAnsi="Times New Roman" w:cs="Times New Roman"/>
          <w:color w:val="000000"/>
          <w:sz w:val="24"/>
          <w:szCs w:val="24"/>
        </w:rPr>
        <w:t>din G</w:t>
      </w:r>
      <w:r w:rsidRPr="00C84538">
        <w:rPr>
          <w:rFonts w:ascii="Times New Roman" w:eastAsia="Times New Roman" w:hAnsi="Times New Roman" w:cs="Times New Roman"/>
          <w:color w:val="000000"/>
          <w:sz w:val="24"/>
          <w:szCs w:val="24"/>
        </w:rPr>
        <w:t>hidul profesorului, cu condiția păstrării numărului de ore conform recomandărilor curriculare (6 ore per modul), o lecție de evaluare inițială și o lecție de evaluare finală, în rest</w:t>
      </w:r>
      <w:r w:rsidR="00F47F70">
        <w:rPr>
          <w:rFonts w:ascii="Times New Roman" w:eastAsia="Times New Roman" w:hAnsi="Times New Roman" w:cs="Times New Roman"/>
          <w:color w:val="000000"/>
          <w:sz w:val="24"/>
          <w:szCs w:val="24"/>
        </w:rPr>
        <w:t>, se</w:t>
      </w:r>
      <w:r w:rsidRPr="00C8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selectează și </w:t>
      </w:r>
      <w:r w:rsidR="00F47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 w:rsidRPr="00C8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adaugă orele </w:t>
      </w:r>
      <w:r w:rsidRPr="00C845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 discreția profesorului</w:t>
      </w:r>
      <w:r w:rsidRPr="00C8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modulului</w:t>
      </w:r>
      <w:r w:rsidR="00F47F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8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 corespundere cu numărul de săptămâni conform </w:t>
      </w:r>
      <w:r w:rsidRPr="00C845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Planului-cadru</w:t>
      </w:r>
      <w:r w:rsidRPr="00C84538">
        <w:rPr>
          <w:rFonts w:ascii="Times New Roman" w:eastAsia="Times New Roman" w:hAnsi="Times New Roman" w:cs="Times New Roman"/>
          <w:color w:val="000000"/>
          <w:sz w:val="24"/>
          <w:szCs w:val="24"/>
        </w:rPr>
        <w:t>. Unitățile de conținut cu</w:t>
      </w:r>
      <w:r w:rsidR="00F47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asterix (*) sunt preluate din G</w:t>
      </w:r>
      <w:r w:rsidRPr="00C8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hidul profesorului pentru clasa respectivă. Aceste ore pot fi modificate la discreția profesorului, în raport cu necesitățile colectivului de elevi, dar </w:t>
      </w:r>
      <w:r w:rsidR="00F47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 w:rsidRPr="00C84538">
        <w:rPr>
          <w:rFonts w:ascii="Times New Roman" w:eastAsia="Times New Roman" w:hAnsi="Times New Roman" w:cs="Times New Roman"/>
          <w:color w:val="000000"/>
          <w:sz w:val="24"/>
          <w:szCs w:val="24"/>
        </w:rPr>
        <w:t>va asigura atingerea unităților de competență pe care trebuie să le dețină elevii la această unitate de învățare.</w:t>
      </w:r>
    </w:p>
    <w:p w:rsidR="00E00189" w:rsidRPr="00C84538" w:rsidRDefault="00E00189" w:rsidP="00C8453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791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0189" w:rsidRPr="00C84538" w:rsidRDefault="00CD0B7D" w:rsidP="00C8453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791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Competențe specifice disciplinei:</w:t>
      </w:r>
    </w:p>
    <w:p w:rsidR="00E00189" w:rsidRPr="00C84538" w:rsidRDefault="00CD0B7D" w:rsidP="00C8453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791"/>
        </w:tabs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F47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Exprimarea identității personale în relaționarea constructivă cu familia și ceilalți, prin explorarea sinelui și </w:t>
      </w:r>
      <w:r w:rsidR="00F47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C84538">
        <w:rPr>
          <w:rFonts w:ascii="Times New Roman" w:eastAsia="Times New Roman" w:hAnsi="Times New Roman" w:cs="Times New Roman"/>
          <w:color w:val="000000"/>
          <w:sz w:val="24"/>
          <w:szCs w:val="24"/>
        </w:rPr>
        <w:t>resurselor sociale;</w:t>
      </w:r>
    </w:p>
    <w:p w:rsidR="00E00189" w:rsidRPr="00C84538" w:rsidRDefault="00CD0B7D" w:rsidP="00C8453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13"/>
          <w:tab w:val="left" w:pos="914"/>
          <w:tab w:val="left" w:pos="8791"/>
        </w:tabs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538">
        <w:rPr>
          <w:rFonts w:ascii="Times New Roman" w:eastAsia="Times New Roman" w:hAnsi="Times New Roman" w:cs="Times New Roman"/>
          <w:color w:val="000000"/>
          <w:sz w:val="24"/>
          <w:szCs w:val="24"/>
        </w:rPr>
        <w:t>2. Demonstrarea autonomiei personale în realizarea unui comportament orientat spre valorificarea optimă a resurselor personale și a mediului de viață;</w:t>
      </w:r>
    </w:p>
    <w:p w:rsidR="00E00189" w:rsidRPr="00C84538" w:rsidRDefault="00CD0B7D" w:rsidP="00C8453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13"/>
          <w:tab w:val="left" w:pos="914"/>
          <w:tab w:val="left" w:pos="8791"/>
        </w:tabs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538">
        <w:rPr>
          <w:rFonts w:ascii="Times New Roman" w:eastAsia="Times New Roman" w:hAnsi="Times New Roman" w:cs="Times New Roman"/>
          <w:color w:val="000000"/>
          <w:sz w:val="24"/>
          <w:szCs w:val="24"/>
        </w:rPr>
        <w:t>3. Manifestarea comportamentului centrat pe modul de viață sănătos, prin implicare activă în menținerea sănătății proprii;</w:t>
      </w:r>
    </w:p>
    <w:p w:rsidR="00E00189" w:rsidRPr="00C84538" w:rsidRDefault="00CD0B7D" w:rsidP="00C8453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13"/>
          <w:tab w:val="left" w:pos="914"/>
          <w:tab w:val="left" w:pos="8791"/>
        </w:tabs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538">
        <w:rPr>
          <w:rFonts w:ascii="Times New Roman" w:eastAsia="Times New Roman" w:hAnsi="Times New Roman" w:cs="Times New Roman"/>
          <w:color w:val="000000"/>
          <w:sz w:val="24"/>
          <w:szCs w:val="24"/>
        </w:rPr>
        <w:t>4. Proiectarea carierei, prin determinarea traseului școlar și/sau profesional, din perspectiva valorificării potențialului personal și oportunităților pieței muncii;</w:t>
      </w:r>
    </w:p>
    <w:p w:rsidR="00E00189" w:rsidRPr="00C84538" w:rsidRDefault="00CD0B7D" w:rsidP="00C8453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13"/>
          <w:tab w:val="left" w:pos="914"/>
          <w:tab w:val="left" w:pos="8791"/>
        </w:tabs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538">
        <w:rPr>
          <w:rFonts w:ascii="Times New Roman" w:eastAsia="Times New Roman" w:hAnsi="Times New Roman" w:cs="Times New Roman"/>
          <w:color w:val="000000"/>
          <w:sz w:val="24"/>
          <w:szCs w:val="24"/>
        </w:rPr>
        <w:t>5. Adoptarea comportamentului activ, privind securitatea personală, centrat pe responsabilitate pentru starea de bine a sa și a celor din jur.</w:t>
      </w:r>
    </w:p>
    <w:p w:rsidR="00C84538" w:rsidRDefault="00C84538" w:rsidP="00C8453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4538" w:rsidRDefault="00C84538" w:rsidP="00C8453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4538" w:rsidRDefault="00C84538" w:rsidP="00C8453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7F70" w:rsidRDefault="00F47F70" w:rsidP="00C8453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0189" w:rsidRPr="00C84538" w:rsidRDefault="00CD0B7D" w:rsidP="00C8453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845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PROIECTAREA DIDACTICĂ A UNITĂȚILOR DE ÎNVĂȚARE / UNITĂȚILOR DE CONȚINUT</w:t>
      </w:r>
    </w:p>
    <w:tbl>
      <w:tblPr>
        <w:tblStyle w:val="a7"/>
        <w:tblW w:w="1474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394"/>
        <w:gridCol w:w="1276"/>
        <w:gridCol w:w="570"/>
        <w:gridCol w:w="852"/>
        <w:gridCol w:w="141"/>
        <w:gridCol w:w="4246"/>
        <w:gridCol w:w="1135"/>
      </w:tblGrid>
      <w:tr w:rsidR="00E00189" w:rsidRPr="00C84538" w:rsidTr="00C84538">
        <w:trPr>
          <w:cantSplit/>
          <w:trHeight w:val="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Unități de competențe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95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Unități de conținut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8"/>
              </w:tabs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Sarcina conform ghidului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Nr. de ore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6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Activități de învățare și produse școlare realizate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E00189" w:rsidRPr="0029369A" w:rsidTr="00C84538">
        <w:trPr>
          <w:trHeight w:val="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Autoevaluarea com</w:t>
            </w:r>
            <w:r w:rsid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petențelor adiționate în anul precedent de studiu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Evaluare inițială. Consolidarea cunoștințelor. </w:t>
            </w:r>
          </w:p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right="67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5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Recapitularea cunoștințelor. </w:t>
            </w:r>
            <w:r w:rsidRPr="00C845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Planificarea produselor cu elevii. Determinarea împreună cu ei a criteriilor de succes pentru produse.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29369A" w:rsidTr="00C84538">
        <w:trPr>
          <w:trHeight w:val="50"/>
        </w:trPr>
        <w:tc>
          <w:tcPr>
            <w:tcW w:w="14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Dimensiunea 1. Unitatea de învățare: </w:t>
            </w:r>
            <w:r w:rsidRPr="00C845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Identitatea personală și relaționarea armonioasă (6 ore)</w:t>
            </w:r>
          </w:p>
        </w:tc>
      </w:tr>
      <w:tr w:rsidR="00E00189" w:rsidRPr="0029369A" w:rsidTr="00C84538">
        <w:trPr>
          <w:cantSplit/>
          <w:trHeight w:val="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89" w:rsidRPr="00C84538" w:rsidRDefault="00F47F70" w:rsidP="00C84538">
            <w:pPr>
              <w:pStyle w:val="Normal1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4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Stabilirea re</w:t>
            </w:r>
            <w:r w:rsid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 w:rsidR="00CD0B7D"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ției dintre succes, eșec și resurse personale, în  adaptarea eficient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 la diferite situații de viață.</w:t>
            </w:r>
          </w:p>
          <w:p w:rsidR="00E00189" w:rsidRPr="00C84538" w:rsidRDefault="00CD0B7D" w:rsidP="00C84538">
            <w:pPr>
              <w:pStyle w:val="Normal1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 w:rsid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licarea normelor unui comporta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ment asertiv din perspectiva unor interacțiuni pozitive școlare, </w:t>
            </w:r>
            <w:r w:rsidR="00F4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familiale și din comunitate.</w:t>
            </w:r>
          </w:p>
          <w:p w:rsidR="00C84538" w:rsidRPr="00C84538" w:rsidRDefault="00C84538" w:rsidP="00C84538">
            <w:pPr>
              <w:pStyle w:val="Normal1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Modelarea stilu</w:t>
            </w:r>
            <w:r w:rsidR="00CD0B7D"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rilor de expri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D0B7D"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 a emoțiilor și sentimentelor în acord cu nevoile personale și ale celorlalți.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  <w:tab w:val="left" w:pos="1065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Resursele personale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Capacități și calități.</w:t>
            </w:r>
          </w:p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  <w:tab w:val="left" w:pos="1065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  <w:tab w:val="left" w:pos="1065"/>
              </w:tabs>
              <w:ind w:right="14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5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Exerciții de realizare a unor prezentări cu referire la resurse</w:t>
            </w:r>
            <w:r w:rsidR="00F4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personal</w:t>
            </w:r>
            <w:r w:rsidR="00F4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și valoarea propriei persoane.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29369A" w:rsidTr="00C84538">
        <w:trPr>
          <w:cantSplit/>
          <w:trHeight w:val="55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  <w:tab w:val="left" w:pos="1065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Succesul și eșecul în dezvoltare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Pași în depășirea barierelor, dificultăților, obstacolelor.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8"/>
              </w:tabs>
              <w:ind w:right="14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 pag. 16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5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ind w:right="14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Completarea fișei </w:t>
            </w:r>
            <w:r w:rsidR="00F47F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(vezi G</w:t>
            </w:r>
            <w:r w:rsidRPr="00C845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hidul profesorului</w:t>
            </w:r>
            <w:r w:rsidR="00F47F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C845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pag. 17)</w:t>
            </w:r>
            <w:r w:rsidR="00F47F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29369A" w:rsidTr="00C84538">
        <w:trPr>
          <w:cantSplit/>
          <w:trHeight w:val="55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  <w:tab w:val="left" w:pos="1065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Comportamentul asertiv, pasiv, agresiv. 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Tipuri și forme de comunicare. Modalități de exprimare. Avantaje, dezavantaje.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  <w:tab w:val="left" w:pos="1065"/>
              </w:tabs>
              <w:ind w:right="14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 pag. 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5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ind w:left="22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Discuții dirijate</w:t>
            </w:r>
            <w:r w:rsidR="00F4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„Decalogul asertivității” pentru clarificarea celor 10 caracter</w:t>
            </w:r>
            <w:r w:rsidR="00F4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istici ale comunicării asertive.</w:t>
            </w:r>
          </w:p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ind w:right="141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29369A" w:rsidTr="00C84538">
        <w:trPr>
          <w:cantSplit/>
          <w:trHeight w:val="55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F47F7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  <w:tab w:val="left" w:pos="1065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Conflictele</w:t>
            </w:r>
            <w:r w:rsidR="00F47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cauze și reacții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Aspecte pozitive și negative. Inevitabilitatea conflictelor. Metode de soluționare.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  <w:tab w:val="left" w:pos="1065"/>
              </w:tabs>
              <w:ind w:right="14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 pag. 22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5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ind w:left="22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Jocuri de rol pentru exersarea abilităților de exprimar</w:t>
            </w:r>
            <w:r w:rsidR="00F4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și soluționare a conflictelor.</w:t>
            </w:r>
          </w:p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ind w:right="141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29369A" w:rsidTr="00C84538">
        <w:trPr>
          <w:cantSplit/>
          <w:trHeight w:val="55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  <w:tab w:val="left" w:pos="1065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Relaționarea și acceptarea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Diversitatea emoțiilor și sentimentelor: manifestare, acceptare/ neacceptare, posibilități și limite.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  <w:tab w:val="left" w:pos="1065"/>
              </w:tabs>
              <w:ind w:right="14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 pag. 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5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ind w:right="141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Dezbateri cu referire la efectele succesului și eșecului asupra personalității</w:t>
            </w:r>
            <w:r w:rsidR="00F4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29369A" w:rsidTr="00C84538">
        <w:trPr>
          <w:cantSplit/>
          <w:trHeight w:val="57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Lecţie de sinteză şi autoevaluare.</w:t>
            </w:r>
          </w:p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Elaborare/prezentare de produs:</w:t>
            </w:r>
          </w:p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Jurnal de reflecții: 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C845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Reflecții personale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5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Prezentarea produselor. Autoevaluarea și completarea tabelului de performanţă.</w:t>
            </w:r>
          </w:p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ind w:right="14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29369A" w:rsidTr="00C84538">
        <w:trPr>
          <w:trHeight w:val="60"/>
        </w:trPr>
        <w:tc>
          <w:tcPr>
            <w:tcW w:w="14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Dimensiunea 2. Unitatea de învățare: </w:t>
            </w:r>
            <w:r w:rsidRPr="00C845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Asigurarea calității vieții (6 ore)+1</w:t>
            </w:r>
          </w:p>
        </w:tc>
      </w:tr>
      <w:tr w:rsidR="00E00189" w:rsidRPr="0029369A" w:rsidTr="00C84538">
        <w:trPr>
          <w:cantSplit/>
          <w:trHeight w:val="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ind w:right="141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Identificarea posibilităților de învățare prin  </w:t>
            </w:r>
            <w:r w:rsidR="00F4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implicarea în viața comunității.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Argumentarea beneficiilor consumului rațional al unor produse și servicii, din per</w:t>
            </w:r>
            <w:r w:rsidR="00F4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spectiva unei vieți de calitate.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Aprecierea importanței verticalității și curajului în manifestarea unui comportament corect.</w:t>
            </w:r>
          </w:p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0"/>
                <w:tab w:val="left" w:pos="360"/>
                <w:tab w:val="left" w:pos="979"/>
              </w:tabs>
              <w:ind w:left="142" w:right="14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Viața ca sursă de învățare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Roluri și implicații. Diversitatea </w:t>
            </w: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comportamentului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acceptare/ neacceptare.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"/>
                <w:tab w:val="left" w:pos="360"/>
                <w:tab w:val="left" w:pos="979"/>
              </w:tabs>
              <w:ind w:right="14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 pag. 26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5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ind w:left="143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Analiza unor experiențe </w:t>
            </w:r>
            <w:r w:rsidR="00F4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învățare din viața elevilor;.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29369A" w:rsidTr="00C84538">
        <w:trPr>
          <w:cantSplit/>
          <w:trHeight w:val="55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0"/>
                <w:tab w:val="left" w:pos="360"/>
                <w:tab w:val="left" w:pos="979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Publicitatea și consumul rațional. 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Necesități reale și false. Calitatea produselor. Cheltuieli raționale.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"/>
                <w:tab w:val="left" w:pos="360"/>
                <w:tab w:val="left" w:pos="979"/>
              </w:tabs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 pag. 28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143"/>
                <w:tab w:val="left" w:pos="186"/>
              </w:tabs>
              <w:ind w:left="143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Discuții dirijate cu gener</w:t>
            </w:r>
            <w:r w:rsidR="00F4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icul: „Știu să consum rațional”.</w:t>
            </w:r>
          </w:p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143"/>
                <w:tab w:val="left" w:pos="186"/>
              </w:tabs>
              <w:ind w:left="143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29369A" w:rsidTr="00C84538">
        <w:trPr>
          <w:cantSplit/>
          <w:trHeight w:val="55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0"/>
                <w:tab w:val="left" w:pos="360"/>
                <w:tab w:val="left" w:pos="979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Comportamentul corect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Diversitatea situațiilor de manifestare: în familie, la școală, în locuri publice,</w:t>
            </w:r>
            <w:r w:rsidR="00F4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în activități de </w:t>
            </w: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divertisment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în natură, în vacanță.  Apreciere și autoapreciere.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"/>
                <w:tab w:val="left" w:pos="360"/>
                <w:tab w:val="left" w:pos="979"/>
              </w:tabs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S7 pag. 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143"/>
                <w:tab w:val="left" w:pos="186"/>
              </w:tabs>
              <w:ind w:left="143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Crearea unor povestiri/povețe despre comportamentul corect manifestat</w:t>
            </w:r>
            <w:r w:rsidR="00F4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în diverse situații din viață.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29369A" w:rsidTr="00C84538">
        <w:trPr>
          <w:cantSplit/>
          <w:trHeight w:val="55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0"/>
                <w:tab w:val="left" w:pos="360"/>
                <w:tab w:val="left" w:pos="979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*Ce îmi dă putere? Ce mă reține?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"/>
                <w:tab w:val="left" w:pos="360"/>
                <w:tab w:val="left" w:pos="979"/>
              </w:tabs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S8 pag. 32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(1)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143"/>
                <w:tab w:val="left" w:pos="186"/>
              </w:tabs>
              <w:ind w:left="143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Micul meu proiect: Furnizor de e</w:t>
            </w:r>
            <w:r w:rsidR="00F4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nergie - Consumator de energie.</w:t>
            </w:r>
            <w:r w:rsidRPr="00C845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 pag. 32)</w:t>
            </w:r>
            <w:r w:rsidR="00F47F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29369A" w:rsidTr="00C84538">
        <w:trPr>
          <w:cantSplit/>
          <w:trHeight w:val="55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0"/>
                <w:tab w:val="left" w:pos="360"/>
                <w:tab w:val="left" w:pos="979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Verticalitatea și curajul. 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Semnificația și caracteristicile. Necesitatea și importanța manifestării. Modalități și context de manifestare.</w:t>
            </w:r>
          </w:p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0"/>
                <w:tab w:val="left" w:pos="90"/>
                <w:tab w:val="left" w:pos="360"/>
                <w:tab w:val="left" w:pos="636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186"/>
                <w:tab w:val="left" w:pos="360"/>
                <w:tab w:val="left" w:pos="636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143"/>
                <w:tab w:val="left" w:pos="186"/>
              </w:tabs>
              <w:ind w:left="143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Lecturi comentate</w:t>
            </w:r>
            <w:r w:rsidR="00F4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„Accentuarea individualității prin verticalitate și curaj”. Organizarea unei galerii a eroilor preferați din oper</w:t>
            </w:r>
            <w:r w:rsidR="00F4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literare, cinema, arte, sport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etc., care au manifestat verticalitate și curaj.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29369A" w:rsidTr="00C84538">
        <w:trPr>
          <w:cantSplit/>
          <w:trHeight w:val="55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0"/>
                <w:tab w:val="left" w:pos="90"/>
                <w:tab w:val="left" w:pos="360"/>
                <w:tab w:val="left" w:pos="636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Implicarea ca sursă de dezvoltare. </w:t>
            </w:r>
            <w:r w:rsidR="00F4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Importanța 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vieții active. Proiecte personale și de grup. Beneficii personale și comunitare.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186"/>
                <w:tab w:val="left" w:pos="360"/>
                <w:tab w:val="left" w:pos="636"/>
              </w:tabs>
              <w:ind w:left="22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143"/>
                <w:tab w:val="left" w:pos="186"/>
              </w:tabs>
              <w:ind w:left="143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Exerciții de formulare a argumentelor pro sau contr</w:t>
            </w:r>
            <w:r w:rsidR="00F4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pentru o dezbatere de grup: „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Voluntariatul trebuie să devină obligație”.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C84538" w:rsidTr="00C84538">
        <w:trPr>
          <w:cantSplit/>
          <w:trHeight w:val="5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Lecţie de sinteză şi autoevaluare.</w:t>
            </w:r>
          </w:p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Elaborare/prezentare de produs:</w:t>
            </w:r>
          </w:p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0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Poster </w:t>
            </w:r>
            <w:r w:rsidRPr="00C84538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Sunt mândru de comportamentul meu </w:t>
            </w:r>
            <w:r w:rsidRPr="00C8453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(desene, naraţiuni, prin care să demonstreze un comportament corect, de valoare pentru sine și cei din jur).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Discutarea şi stabilirea criteriilor de succes. Prezentarea posterului şi autoevaluarea în baza criteriilor. Completarea tabelului de performanță</w:t>
            </w:r>
            <w:r w:rsidR="00F4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143"/>
                <w:tab w:val="left" w:pos="186"/>
              </w:tabs>
              <w:ind w:left="143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29369A" w:rsidTr="00C84538">
        <w:trPr>
          <w:trHeight w:val="67"/>
        </w:trPr>
        <w:tc>
          <w:tcPr>
            <w:tcW w:w="14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Dimensiunea 3. Unitatea de învățare</w:t>
            </w:r>
            <w:r w:rsidR="00F47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845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Modul de viață sănătos (6 ore)+1</w:t>
            </w:r>
          </w:p>
        </w:tc>
      </w:tr>
      <w:tr w:rsidR="00E00189" w:rsidRPr="0029369A" w:rsidTr="00C84538">
        <w:trPr>
          <w:cantSplit/>
          <w:trHeight w:val="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  <w:tab w:val="left" w:pos="456"/>
              </w:tabs>
              <w:ind w:right="14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Relatarea despre aspectele riscante ale modului de viață a adolescentului</w:t>
            </w:r>
            <w:r w:rsidR="00F4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accentuarea impactului asupra sănătății lui;</w:t>
            </w:r>
          </w:p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  <w:tab w:val="left" w:pos="456"/>
              </w:tabs>
              <w:ind w:left="142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  <w:tab w:val="left" w:pos="456"/>
              </w:tabs>
              <w:ind w:left="142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3.2. Stabilirea relației dintre </w:t>
            </w: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responsabilitate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iresponsabilitate față de propria sănătate și consecințele pentru dezvoltar</w:t>
            </w:r>
            <w:r w:rsidR="00F4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 ulterioară și starea de bine.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  <w:tab w:val="left" w:pos="456"/>
              </w:tabs>
              <w:ind w:left="142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  <w:tab w:val="left" w:pos="456"/>
              </w:tabs>
              <w:ind w:left="142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Argumentarea necesității de a rezista tentațiilor periculoase pentru propria sănătate, în baza informațiilor accesibile.</w:t>
            </w:r>
          </w:p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156"/>
                <w:tab w:val="left" w:pos="275"/>
              </w:tabs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267"/>
              </w:tabs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Tendințele modei și sănătatea elevilor. 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Moda, caracterul temporar. Diversitatea exprimării. Situațiile de viață și moda. Atitudinea moderată și raţională în raport cu sănătatea.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Discuția dirijată: </w:t>
            </w:r>
            <w:r w:rsidRPr="00C845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Moda în diversitate și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</w:t>
            </w:r>
            <w:r w:rsidRPr="00C845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fectele ei asupra sănătății adolescenților</w:t>
            </w:r>
            <w:r w:rsidR="00F4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Prezentarea unor filmulețe despre tendinţa adolescenţilor de a fi moderni (cool</w:t>
            </w:r>
            <w:r w:rsidR="00F4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și riscurile la care se supun.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29369A" w:rsidTr="00C84538">
        <w:trPr>
          <w:cantSplit/>
          <w:trHeight w:val="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267"/>
              </w:tabs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*Bărbați și femei. Cine sunt eu?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S9 pag. 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F47F70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Discutarea fișei: Cinci c</w:t>
            </w:r>
            <w:r w:rsidR="00CD0B7D"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aracteristici ale sexualității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(vezi G</w:t>
            </w:r>
            <w:r w:rsidR="00CD0B7D" w:rsidRPr="00C845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hidul profesorului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CD0B7D" w:rsidRPr="00C845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pag. 37)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29369A" w:rsidTr="00C84538">
        <w:trPr>
          <w:cantSplit/>
          <w:trHeight w:val="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267"/>
              </w:tabs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*Bătăile inimii mele. Limitele mele.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S11pag. 40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(1)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Axa timpului în raport cu dezvoltarea sexualității (</w:t>
            </w:r>
            <w:r w:rsidR="00F47F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(vezi G</w:t>
            </w:r>
            <w:r w:rsidRPr="00C845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hidul profesorului</w:t>
            </w:r>
            <w:r w:rsidR="00F47F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C845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pag. 41)</w:t>
            </w:r>
            <w:r w:rsidR="00F47F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29369A" w:rsidTr="00C84538">
        <w:trPr>
          <w:cantSplit/>
          <w:trHeight w:val="55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267"/>
              </w:tabs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Comportamente riscante și infecțiile sexual transmisibile. 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Infecții sexual transmisibile. Mod de manifestare. Riscuri pentru </w:t>
            </w: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sănătate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și dezvoltarea ulterioară. Modalităţi de prevenire a riscurilor.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Prezentarea unor filmulețe despre sarcină în adolescență</w:t>
            </w:r>
            <w:r w:rsidR="00F4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infecții sexual transmisibile.</w:t>
            </w:r>
          </w:p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29369A" w:rsidTr="00C84538">
        <w:trPr>
          <w:cantSplit/>
          <w:trHeight w:val="55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267"/>
              </w:tabs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Sarcina în adolescență: riscuri pentru mamă și copil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Riscuri de ordin fiziologic și social. Comportamentul </w:t>
            </w: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adecvat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și asumarea </w:t>
            </w: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responsabilității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către fată și băiat.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Redactarea unor fișe informaționale pentru adolescenți despre factorii de risc în cazul </w:t>
            </w:r>
            <w:r w:rsidR="00F4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relațiilor sexuale neprotejate.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29369A" w:rsidTr="00C84538">
        <w:trPr>
          <w:cantSplit/>
          <w:trHeight w:val="55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267"/>
              </w:tabs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Adolescența și nutriția corectă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Nutriția și rolul acesteia în creșterea și dezvoltarea organismului. Regimul alimentar corect. Pericolele unei alimentaţii incorecte. Riscurile consumului de fast-food.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 pag. 38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Aplicații „Imaginea de sine”, </w:t>
            </w: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deseneaza-te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așa cum te vezi, disc</w:t>
            </w:r>
            <w:r w:rsidR="00F4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ută cu colegul tău despre desen.</w:t>
            </w:r>
          </w:p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29369A" w:rsidTr="00C84538">
        <w:trPr>
          <w:cantSplit/>
          <w:trHeight w:val="55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F47F70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Toxicomania: consecințe nefaste</w:t>
            </w:r>
            <w:r w:rsidR="00CD0B7D"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individuale și sociale. </w:t>
            </w:r>
            <w:r w:rsidR="00CD0B7D"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Cauze ale toxicomaniei. Influențe asupra dezvoltării psihofiziologice și sociale. Dificultatea renunţării la substanţele toxice. </w:t>
            </w:r>
          </w:p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Lecție de sinteză și autoevaluare</w:t>
            </w:r>
            <w:r w:rsidR="00F47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S12 pag. 42</w:t>
            </w:r>
          </w:p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(partea 2)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Studiu de caz: Toxicomania și consecințele nefaste asupra organismului și a societății în întregime. </w:t>
            </w:r>
            <w:r w:rsidRPr="00C845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Elaborare de produs. </w:t>
            </w: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Poster/PPT: </w:t>
            </w:r>
            <w:r w:rsidRPr="00C845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Substanțe toxice care pot declanșa dependența. Completarea tabelului de performanță.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29369A" w:rsidTr="00C84538">
        <w:trPr>
          <w:trHeight w:val="46"/>
        </w:trPr>
        <w:tc>
          <w:tcPr>
            <w:tcW w:w="1474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0189" w:rsidRPr="00C84538" w:rsidRDefault="00AC6D02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Dimensiunea 4. </w:t>
            </w:r>
            <w:r w:rsidR="00CD0B7D"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Unitatea de învățare: </w:t>
            </w:r>
            <w:r w:rsidR="00CD0B7D" w:rsidRPr="00C845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Proiectarea carierei profesionale și dezvoltarea spiritului antreprenorial (6 ore)+1</w:t>
            </w:r>
          </w:p>
        </w:tc>
      </w:tr>
      <w:tr w:rsidR="00E00189" w:rsidRPr="0029369A" w:rsidTr="00C84538">
        <w:trPr>
          <w:cantSplit/>
          <w:trHeight w:val="1060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right="141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Corelarea acțiunilor de evoluție în carieră cu potențialul individual</w:t>
            </w:r>
            <w:r w:rsidR="00AC6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și perspectivele pieței muncii.</w:t>
            </w:r>
          </w:p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170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170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 Valorificarea oportunităților oferite de 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comunitatea școlară, </w:t>
            </w: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locală și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piața muncii pentru lansarea inițiativelor personale și </w:t>
            </w:r>
            <w:r w:rsidRPr="00C84538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a activităților</w:t>
            </w:r>
            <w:r w:rsidR="00AC6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antreprenoriale.</w:t>
            </w:r>
          </w:p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170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170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 Proiectarea traseului educațional și profesional în baza sistemului de atitudini și valori.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ind w:left="144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Piața muncii și deciziile de carieră</w:t>
            </w:r>
            <w:r w:rsidRPr="00C845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Piața muncii, specificul funcționării, factori de dezvoltare.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24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S13 pag. 46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24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</w:tabs>
              <w:ind w:left="144" w:right="1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Identificarea angajatorilor care pot oferi oportunită</w:t>
            </w:r>
            <w:r w:rsidR="00AC6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ți de practică în domeniul ales.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Cercetarea gradului de solicitare a diferitor profesii pe piaţa muncii din Republica Moldova.</w:t>
            </w:r>
            <w:r w:rsidRPr="00C8453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Analiza diferitor surse pentru a lua o decizie de carieră: rapoarte ANOFM (www.anofm.md), anunţuri de angajare, articole ale </w:t>
            </w:r>
            <w:proofErr w:type="spellStart"/>
            <w:r w:rsidRPr="00C8453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experţilor</w:t>
            </w:r>
            <w:proofErr w:type="spellEnd"/>
            <w:r w:rsidRPr="00C8453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opinii ale </w:t>
            </w:r>
            <w:proofErr w:type="spellStart"/>
            <w:r w:rsidRPr="00C8453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păr</w:t>
            </w:r>
            <w:r w:rsidR="00AC6D0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inţilor</w:t>
            </w:r>
            <w:proofErr w:type="spellEnd"/>
            <w:r w:rsidR="00AC6D0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  profesioniștilor etc.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C84538" w:rsidTr="00C84538">
        <w:trPr>
          <w:cantSplit/>
          <w:trHeight w:val="29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ind w:left="144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*Școli și profesii vechi sau noi?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24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S14 pag. 48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24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(1)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493"/>
                <w:tab w:val="left" w:pos="1116"/>
              </w:tabs>
              <w:ind w:left="140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Sarcini</w:t>
            </w:r>
            <w:r w:rsidR="00AC6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conform G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hidului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29369A" w:rsidTr="00C84538">
        <w:trPr>
          <w:cantSplit/>
          <w:trHeight w:val="55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ind w:left="144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Inteligențele multiple și profesiile</w:t>
            </w:r>
            <w:r w:rsidRPr="00C845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Caracteristici ale diferitor tipuri de inteligență. Corelarea profesiilor cu tipul de inteligență dominant.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493"/>
                <w:tab w:val="left" w:pos="851"/>
                <w:tab w:val="left" w:pos="1116"/>
              </w:tabs>
              <w:ind w:left="140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Realizarea testelor de cunoaștere a aptitudinilor</w:t>
            </w:r>
            <w:r w:rsidR="00AC6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pen</w:t>
            </w:r>
            <w:r w:rsidR="00AC6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 a planifica dezvoltarea lor.</w:t>
            </w:r>
          </w:p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140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29369A" w:rsidTr="00C84538">
        <w:trPr>
          <w:cantSplit/>
          <w:trHeight w:val="55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ind w:left="144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Voluntariatul și dezvoltarea personală</w:t>
            </w:r>
            <w:r w:rsidRPr="00C845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Dezvoltare personală prin activități de voluntariat. Domenii de implicare în activități de voluntariat. Planificarea activității de voluntariat.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S15 pag. 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493"/>
                <w:tab w:val="left" w:pos="1116"/>
              </w:tabs>
              <w:ind w:left="140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Identificarea persoanelor cu experiență de voluntariat în comunitate și a oportunităților pentru activitatea de voluntariat.</w:t>
            </w:r>
          </w:p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140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29369A" w:rsidTr="00C84538">
        <w:trPr>
          <w:cantSplit/>
          <w:trHeight w:val="55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ind w:left="144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 la idee la afacere</w:t>
            </w:r>
            <w:r w:rsidRPr="00C845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Evaluarea inițială a ideilor de afaceri. Corelarea cu interesele comunităţii. Dezvoltarea ideii de afacere.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ind w:left="140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 de afacere, etape de realizare și modele.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F47F70" w:rsidTr="00C84538">
        <w:trPr>
          <w:cantSplit/>
          <w:trHeight w:val="55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Proiectul de carieră</w:t>
            </w:r>
            <w:r w:rsidRPr="00C845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Atitudini și valori în deciziile de carieră. Traseu educaţional/ traseu profesional.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493"/>
                <w:tab w:val="left" w:pos="1116"/>
              </w:tabs>
              <w:ind w:left="140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Colectarea informațiilor despre instituții care ofer</w:t>
            </w:r>
            <w:r w:rsidR="00AC6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 studii în domeniile preferate.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(produs recomandat </w:t>
            </w:r>
            <w:r w:rsidR="00AC6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curriculum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C84538" w:rsidTr="00C84538">
        <w:trPr>
          <w:cantSplit/>
          <w:trHeight w:val="5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ind w:left="17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Lecție de sin</w:t>
            </w:r>
            <w:r w:rsidR="00AC6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teză și autoevaluare. Elaborare</w:t>
            </w: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produs: CV-ul/scrisoarea de intenție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Structură, secțiuni importante.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S16 pag.52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493"/>
                <w:tab w:val="left" w:pos="1116"/>
              </w:tabs>
              <w:ind w:left="140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Elaborare și evaluare de produs:</w:t>
            </w: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CV-ul sau scrisoarea de intenție.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Aut</w:t>
            </w:r>
            <w:r w:rsidR="00AC6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oevaluare în baza criteriilor. 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Completare</w:t>
            </w:r>
            <w:r w:rsidR="00AC6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tabelului de performanță.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9" w:rsidRPr="00C84538" w:rsidRDefault="00E00189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89" w:rsidRPr="0029369A" w:rsidTr="00C84538">
        <w:trPr>
          <w:trHeight w:val="60"/>
        </w:trPr>
        <w:tc>
          <w:tcPr>
            <w:tcW w:w="14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189" w:rsidRPr="00C84538" w:rsidRDefault="00AC6D02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Dimensiunea 5. </w:t>
            </w:r>
            <w:r w:rsidR="00CD0B7D"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Unitatea de învățare: </w:t>
            </w:r>
            <w:r w:rsidR="00CD0B7D" w:rsidRPr="00C845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Securitatea personală (6 ore)+3</w:t>
            </w:r>
          </w:p>
        </w:tc>
      </w:tr>
      <w:tr w:rsidR="00CD0B7D" w:rsidRPr="0029369A" w:rsidTr="00C84538">
        <w:trPr>
          <w:cantSplit/>
          <w:trHeight w:val="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right="141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5.1. Descrierea modalității de acțiune în caz de incendiu, </w:t>
            </w:r>
            <w:r w:rsidR="00AC6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 baza regulilor de securitate.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 Analiza posibi</w:t>
            </w:r>
            <w:r w:rsidR="00AC6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lelor capcane on-line, privind 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riscul pentru integr</w:t>
            </w:r>
            <w:r w:rsidR="00AC6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itatea morală și viața elevului.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5.3. Aprecierea securității ecologice în comunitate</w:t>
            </w:r>
            <w:r w:rsidR="00AC6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în baza unor criterii oferite.</w:t>
            </w:r>
          </w:p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 Proiectarea  activităților în vacanță, din perspectiva asigurării securității personale.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Reguli de comportament în cazul incendiilor casnice și în localuri publice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Acțiuni personale și colective de protecție și salvare.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24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24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140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Simularea diferitor situații (prin imagini, filmulețe, instrumente TIC) cu întreprinderea acțiunilor de formare a unui comportament adecvat și responsabil în cazul incendiilor casnice și în localuri publice.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B7D" w:rsidRPr="0029369A" w:rsidTr="00C84538">
        <w:trPr>
          <w:cantSplit/>
          <w:trHeight w:val="55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Traficul rutier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Semnele de circulație rutieră. Necesitatea cunoașterii semnelor de circulaţie ca pieton, pasager și conducător al mijloacelor de transport.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140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Joc de rol pentru exersarea comportamentului în strad</w:t>
            </w:r>
            <w:r w:rsidR="00AC6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 și în alte locuri periculoase.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B7D" w:rsidRPr="0029369A" w:rsidTr="00C84538">
        <w:trPr>
          <w:cantSplit/>
          <w:trHeight w:val="55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Securitatea elevului pe timpul vacanței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Situații de pericol și risc. Reguli de comportament. Utilizarea bazinelor </w:t>
            </w:r>
            <w:r w:rsidR="00AC6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acvatice. Riscul de înec. Primul 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ajutor în caz de înec, mușcătură de insecte, intoxicaţii alimentare etc.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140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Elaborarea unor proiecte de activități referitoare la odihna activă a elevulu</w:t>
            </w:r>
            <w:r w:rsidR="00AC6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și securitatea lui în vacanță.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140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B7D" w:rsidRPr="0029369A" w:rsidTr="00C84538">
        <w:trPr>
          <w:cantSplit/>
          <w:trHeight w:val="44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Securitatea ecologică în comunitate. 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Securitate ecologică. Modalități de asigurare. Implicare personală.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140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Analizarea unor studii de caz sau din viața reală cu referire la secu</w:t>
            </w:r>
            <w:r w:rsidR="00AC6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ritatea ecologică în comunitate.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B7D" w:rsidRPr="00C84538" w:rsidTr="00C84538">
        <w:trPr>
          <w:cantSplit/>
          <w:trHeight w:val="6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*Mass-media și emoțiile mele.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S16 pag. 56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(1)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AC6D02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140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Sarcini conform G</w:t>
            </w:r>
            <w:r w:rsidR="00CD0B7D"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hidului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B7D" w:rsidRPr="00C84538" w:rsidTr="00C84538">
        <w:trPr>
          <w:cantSplit/>
          <w:trHeight w:val="44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*Să cunoaștem diferite strategii publicitare.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S17 pag. 58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(1)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AC6D02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140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Sarcini conform G</w:t>
            </w:r>
            <w:r w:rsidR="00CD0B7D"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hidului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B7D" w:rsidRPr="0029369A" w:rsidTr="00C84538">
        <w:trPr>
          <w:cantSplit/>
          <w:trHeight w:val="44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*Să gestionăm publicitatea în mod critic și activ.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S18 pag. 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(1)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AC6D02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140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Exercițiu: Privire</w:t>
            </w:r>
            <w:r w:rsidR="00CD0B7D"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critic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="00CD0B7D"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asupra reclamei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B7D" w:rsidRPr="0029369A" w:rsidTr="00C84538">
        <w:trPr>
          <w:cantSplit/>
          <w:trHeight w:val="5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Oportunitățile și capcanele on-line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Avantajele și riscurile utilizării surselor de informare și comunicare on-line. Posibile capcane. Mod de reacționare.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 20 pag. 62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ind w:left="14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Discuție di</w:t>
            </w:r>
            <w:r w:rsidR="00AC6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rijată. Vizionarea filmulețului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D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Încrederea oarbă,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seria de</w:t>
            </w:r>
            <w:r w:rsidR="00AC6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filme educative „Fir de nisip”.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B7D" w:rsidRPr="00C84538" w:rsidTr="00C84538">
        <w:trPr>
          <w:cantSplit/>
          <w:trHeight w:val="55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Lecție de sinteză și autoevaluare</w:t>
            </w:r>
            <w:r w:rsidRPr="00C84538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. </w:t>
            </w:r>
            <w:r w:rsidRPr="00C8453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Produs:</w:t>
            </w:r>
            <w:r w:rsidRPr="00C84538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  </w:t>
            </w:r>
            <w:r w:rsidRPr="00C8453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Pliant </w:t>
            </w:r>
            <w:r w:rsidRPr="00C8453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despre securitatea elevului în vacanţă, elaborat în grup și repartizat în instituţie.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5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Elaborare și evaluare de produs:</w:t>
            </w: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8453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Pliant </w:t>
            </w:r>
            <w:r w:rsidRPr="00C8453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despre securitatea elevului în vacanţă în baza criteriilor prestabilite.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Autoevaluare în baza criteriilor.  Completare</w:t>
            </w:r>
            <w:r w:rsidR="00AC6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tabelului de performanță.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B7D" w:rsidRPr="0029369A" w:rsidTr="00C84538">
        <w:trPr>
          <w:cantSplit/>
          <w:trHeight w:val="55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Evaluare sumativă</w:t>
            </w:r>
            <w:r w:rsidR="00AC6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(finală).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Autoevaluarea în baza tabelului de perform</w:t>
            </w:r>
            <w:r w:rsidR="00AC6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anţă. Reflecție asupra procesului  </w:t>
            </w:r>
            <w:r w:rsidRPr="00C8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învățare și a performanțelor atinse.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B7D" w:rsidRPr="00C84538" w:rsidTr="00C84538">
        <w:trPr>
          <w:cantSplit/>
          <w:trHeight w:val="55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7D" w:rsidRPr="00C84538" w:rsidRDefault="00CD0B7D" w:rsidP="00C845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0189" w:rsidRPr="00C84538" w:rsidRDefault="00E00189" w:rsidP="00C8453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left" w:pos="106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00189" w:rsidRPr="00C84538" w:rsidSect="00CD0B7D">
      <w:pgSz w:w="16838" w:h="11906" w:orient="landscape"/>
      <w:pgMar w:top="709" w:right="1134" w:bottom="850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059AA"/>
    <w:multiLevelType w:val="multilevel"/>
    <w:tmpl w:val="34A8879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936" w:hanging="1799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89"/>
    <w:rsid w:val="0029369A"/>
    <w:rsid w:val="00AC6D02"/>
    <w:rsid w:val="00B040D6"/>
    <w:rsid w:val="00C5638A"/>
    <w:rsid w:val="00C84538"/>
    <w:rsid w:val="00CD0B7D"/>
    <w:rsid w:val="00DE3A08"/>
    <w:rsid w:val="00E00189"/>
    <w:rsid w:val="00F47F70"/>
    <w:rsid w:val="00F7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E8488-ACA5-4943-BE69-6E2B1CDF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o-RO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0189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/>
    </w:rPr>
  </w:style>
  <w:style w:type="paragraph" w:styleId="Heading1">
    <w:name w:val="heading 1"/>
    <w:basedOn w:val="Normal"/>
    <w:rsid w:val="00E00189"/>
    <w:pPr>
      <w:spacing w:before="100" w:beforeAutospacing="1" w:after="100" w:afterAutospacing="1" w:line="240" w:lineRule="auto"/>
    </w:pPr>
    <w:rPr>
      <w:rFonts w:ascii="Arial" w:hAnsi="Arial" w:cs="Times New Roman"/>
      <w:b/>
      <w:color w:val="ED7D31"/>
      <w:kern w:val="36"/>
      <w:sz w:val="40"/>
      <w:szCs w:val="48"/>
      <w:lang w:val="en-US" w:eastAsia="en-US"/>
    </w:rPr>
  </w:style>
  <w:style w:type="paragraph" w:styleId="Heading2">
    <w:name w:val="heading 2"/>
    <w:basedOn w:val="Normal1"/>
    <w:next w:val="Normal1"/>
    <w:rsid w:val="00E001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001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001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001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E00189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00189"/>
  </w:style>
  <w:style w:type="table" w:customStyle="1" w:styleId="TableNormal1">
    <w:name w:val="Table Normal1"/>
    <w:rsid w:val="00E00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E0018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">
    <w:name w:val="Заголовок 1 Знак"/>
    <w:basedOn w:val="DefaultParagraphFont"/>
    <w:rsid w:val="00E00189"/>
    <w:rPr>
      <w:rFonts w:ascii="Arial" w:eastAsia="Calibri" w:hAnsi="Arial" w:cs="Times New Roman"/>
      <w:b/>
      <w:color w:val="ED7D31"/>
      <w:w w:val="100"/>
      <w:kern w:val="36"/>
      <w:position w:val="-1"/>
      <w:sz w:val="40"/>
      <w:szCs w:val="48"/>
      <w:effect w:val="none"/>
      <w:vertAlign w:val="baseline"/>
      <w:cs w:val="0"/>
      <w:em w:val="none"/>
      <w:lang w:val="en-US" w:eastAsia="en-US"/>
    </w:rPr>
  </w:style>
  <w:style w:type="paragraph" w:customStyle="1" w:styleId="Listparagraf1">
    <w:name w:val="Listă paragraf1"/>
    <w:basedOn w:val="Normal"/>
    <w:rsid w:val="00E00189"/>
    <w:pPr>
      <w:spacing w:after="160" w:line="259" w:lineRule="auto"/>
      <w:ind w:left="720"/>
    </w:pPr>
    <w:rPr>
      <w:rFonts w:cs="Times New Roman"/>
      <w:lang w:eastAsia="en-US"/>
    </w:rPr>
  </w:style>
  <w:style w:type="paragraph" w:customStyle="1" w:styleId="ListParagraph11ListParagraph1ListParagraph112">
    <w:name w:val="List Paragraph1;Абзац списка1;List Paragraph 1;List Paragraph11;Абзац списка2"/>
    <w:basedOn w:val="Normal"/>
    <w:rsid w:val="00E00189"/>
    <w:pPr>
      <w:ind w:left="720"/>
    </w:pPr>
    <w:rPr>
      <w:rFonts w:cs="Vrinda"/>
    </w:rPr>
  </w:style>
  <w:style w:type="paragraph" w:customStyle="1" w:styleId="Default">
    <w:name w:val="Default"/>
    <w:rsid w:val="00E00189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Header">
    <w:name w:val="header"/>
    <w:basedOn w:val="Normal"/>
    <w:rsid w:val="00E00189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a">
    <w:name w:val="Верхний колонтитул Знак"/>
    <w:basedOn w:val="DefaultParagraphFont"/>
    <w:rsid w:val="00E00189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rsid w:val="00E00189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a0">
    <w:name w:val="Нижний колонтитул Знак"/>
    <w:basedOn w:val="DefaultParagraphFont"/>
    <w:rsid w:val="00E00189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PageNumber">
    <w:name w:val="page number"/>
    <w:rsid w:val="00E00189"/>
    <w:rPr>
      <w:w w:val="100"/>
      <w:position w:val="-1"/>
      <w:effect w:val="none"/>
      <w:vertAlign w:val="baseline"/>
      <w:cs w:val="0"/>
      <w:em w:val="none"/>
    </w:rPr>
  </w:style>
  <w:style w:type="paragraph" w:customStyle="1" w:styleId="Listparagraf2">
    <w:name w:val="Listă paragraf2"/>
    <w:basedOn w:val="Normal"/>
    <w:rsid w:val="00E00189"/>
    <w:pPr>
      <w:spacing w:after="160" w:line="259" w:lineRule="auto"/>
      <w:ind w:left="720"/>
    </w:pPr>
    <w:rPr>
      <w:rFonts w:cs="Times New Roman"/>
      <w:lang w:eastAsia="en-US"/>
    </w:rPr>
  </w:style>
  <w:style w:type="paragraph" w:customStyle="1" w:styleId="ListParagraph2">
    <w:name w:val="List Paragraph2"/>
    <w:basedOn w:val="Normal"/>
    <w:rsid w:val="00E00189"/>
    <w:pPr>
      <w:spacing w:after="160" w:line="259" w:lineRule="auto"/>
      <w:ind w:left="720"/>
    </w:pPr>
    <w:rPr>
      <w:rFonts w:eastAsia="Times New Roman" w:cs="Times New Roman"/>
      <w:lang w:eastAsia="en-US"/>
    </w:rPr>
  </w:style>
  <w:style w:type="paragraph" w:customStyle="1" w:styleId="Listparagraf3">
    <w:name w:val="Listă paragraf3"/>
    <w:basedOn w:val="Normal"/>
    <w:rsid w:val="00E00189"/>
    <w:pPr>
      <w:spacing w:after="160" w:line="259" w:lineRule="auto"/>
      <w:ind w:left="720"/>
    </w:pPr>
    <w:rPr>
      <w:rFonts w:cs="Times New Roman"/>
      <w:lang w:eastAsia="en-US"/>
    </w:rPr>
  </w:style>
  <w:style w:type="character" w:customStyle="1" w:styleId="fontstyle01">
    <w:name w:val="fontstyle01"/>
    <w:rsid w:val="00E00189"/>
    <w:rPr>
      <w:rFonts w:ascii="ArialMT" w:hAnsi="ArialMT" w:cs="Times New Roman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31">
    <w:name w:val="fontstyle31"/>
    <w:rsid w:val="00E00189"/>
    <w:rPr>
      <w:rFonts w:ascii="Arial-BoldMT" w:hAnsi="Arial-BoldMT" w:cs="Times New Roman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ListParagraph1ListParagraph1">
    <w:name w:val="Абзац списка Знак;List Paragraph 1 Знак;List Paragraph1 Знак"/>
    <w:rsid w:val="00E00189"/>
    <w:rPr>
      <w:rFonts w:ascii="Calibri" w:eastAsia="Times New Roman" w:hAnsi="Calibri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table" w:styleId="TableGrid">
    <w:name w:val="Table Grid"/>
    <w:basedOn w:val="TableNormal"/>
    <w:rsid w:val="00E00189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00189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ulinebaza">
    <w:name w:val="bulinebaza"/>
    <w:basedOn w:val="Normal"/>
    <w:rsid w:val="00E0018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rsid w:val="00E00189"/>
    <w:pPr>
      <w:spacing w:after="160" w:line="259" w:lineRule="auto"/>
      <w:ind w:left="708"/>
    </w:pPr>
    <w:rPr>
      <w:sz w:val="20"/>
      <w:szCs w:val="20"/>
      <w:lang w:eastAsia="en-US"/>
    </w:rPr>
  </w:style>
  <w:style w:type="character" w:customStyle="1" w:styleId="10">
    <w:name w:val="Абзац списка Знак1"/>
    <w:rsid w:val="00E00189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rsid w:val="00E0018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1">
    <w:name w:val="Текст выноски Знак"/>
    <w:basedOn w:val="DefaultParagraphFont"/>
    <w:rsid w:val="00E00189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FootnoteText">
    <w:name w:val="footnote text"/>
    <w:basedOn w:val="Normal"/>
    <w:qFormat/>
    <w:rsid w:val="00E00189"/>
    <w:pPr>
      <w:spacing w:after="0" w:line="240" w:lineRule="auto"/>
    </w:pPr>
    <w:rPr>
      <w:rFonts w:eastAsia="Times New Roman"/>
      <w:color w:val="000000"/>
      <w:sz w:val="20"/>
      <w:szCs w:val="20"/>
      <w:lang w:val="en-US" w:eastAsia="en-US"/>
    </w:rPr>
  </w:style>
  <w:style w:type="character" w:customStyle="1" w:styleId="a2">
    <w:name w:val="Текст сноски Знак"/>
    <w:basedOn w:val="DefaultParagraphFont"/>
    <w:rsid w:val="00E00189"/>
    <w:rPr>
      <w:rFonts w:ascii="Calibri" w:eastAsia="Times New Roman" w:hAnsi="Calibri" w:cs="Calibri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val="en-US" w:eastAsia="en-US"/>
    </w:rPr>
  </w:style>
  <w:style w:type="character" w:styleId="FootnoteReference">
    <w:name w:val="footnote reference"/>
    <w:qFormat/>
    <w:rsid w:val="00E00189"/>
    <w:rPr>
      <w:w w:val="100"/>
      <w:position w:val="-1"/>
      <w:effect w:val="none"/>
      <w:vertAlign w:val="superscript"/>
      <w:cs w:val="0"/>
      <w:em w:val="none"/>
    </w:rPr>
  </w:style>
  <w:style w:type="paragraph" w:styleId="NoSpacing">
    <w:name w:val="No Spacing"/>
    <w:rsid w:val="00E0018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a3">
    <w:name w:val="Без интервала Знак"/>
    <w:rsid w:val="00E00189"/>
    <w:rPr>
      <w:w w:val="100"/>
      <w:position w:val="-1"/>
      <w:sz w:val="22"/>
      <w:szCs w:val="22"/>
      <w:effect w:val="none"/>
      <w:vertAlign w:val="baseline"/>
      <w:cs w:val="0"/>
      <w:em w:val="none"/>
      <w:lang w:eastAsia="en-US" w:bidi="ar-SA"/>
    </w:rPr>
  </w:style>
  <w:style w:type="character" w:customStyle="1" w:styleId="FontStyle11">
    <w:name w:val="Font Style11"/>
    <w:basedOn w:val="DefaultParagraphFont"/>
    <w:rsid w:val="00E00189"/>
    <w:rPr>
      <w:rFonts w:ascii="Times New Roman" w:hAnsi="Times New Roman" w:cs="Times New Roman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Strong">
    <w:name w:val="Strong"/>
    <w:basedOn w:val="DefaultParagraphFont"/>
    <w:rsid w:val="00E0018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basedOn w:val="DefaultParagraphFont"/>
    <w:rsid w:val="00E00189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qFormat/>
    <w:rsid w:val="00E00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character" w:customStyle="1" w:styleId="a4">
    <w:name w:val="Основной текст Знак"/>
    <w:basedOn w:val="DefaultParagraphFont"/>
    <w:rsid w:val="00E00189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ro-RO" w:eastAsia="en-US"/>
    </w:rPr>
  </w:style>
  <w:style w:type="paragraph" w:customStyle="1" w:styleId="11">
    <w:name w:val="Заголовок 11"/>
    <w:basedOn w:val="Normal"/>
    <w:rsid w:val="00E00189"/>
    <w:pPr>
      <w:widowControl w:val="0"/>
      <w:autoSpaceDE w:val="0"/>
      <w:autoSpaceDN w:val="0"/>
      <w:spacing w:before="1" w:after="0" w:line="240" w:lineRule="auto"/>
      <w:ind w:left="28" w:right="260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en-US"/>
    </w:rPr>
  </w:style>
  <w:style w:type="paragraph" w:customStyle="1" w:styleId="TableParagraph">
    <w:name w:val="Table Paragraph"/>
    <w:basedOn w:val="Normal"/>
    <w:rsid w:val="00E00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 w:eastAsia="en-US"/>
    </w:rPr>
  </w:style>
  <w:style w:type="table" w:customStyle="1" w:styleId="TableNormal2">
    <w:name w:val="Table Normal2"/>
    <w:next w:val="TableNormal1"/>
    <w:rsid w:val="00E00189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"/>
    <w:next w:val="Heading1"/>
    <w:rsid w:val="00E00189"/>
    <w:pPr>
      <w:widowControl w:val="0"/>
      <w:autoSpaceDE w:val="0"/>
      <w:autoSpaceDN w:val="0"/>
      <w:spacing w:after="0" w:line="240" w:lineRule="auto"/>
      <w:ind w:left="2162" w:hanging="700"/>
      <w:outlineLvl w:val="1"/>
    </w:pPr>
    <w:rPr>
      <w:b/>
      <w:bCs/>
      <w:sz w:val="40"/>
      <w:szCs w:val="40"/>
      <w:lang w:val="ro-RO" w:eastAsia="en-US"/>
    </w:rPr>
  </w:style>
  <w:style w:type="paragraph" w:customStyle="1" w:styleId="Normal2">
    <w:name w:val="Normal2"/>
    <w:rsid w:val="00E00189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val="en-US"/>
    </w:rPr>
  </w:style>
  <w:style w:type="paragraph" w:styleId="Subtitle">
    <w:name w:val="Subtitle"/>
    <w:basedOn w:val="Normal1"/>
    <w:next w:val="Normal1"/>
    <w:rsid w:val="00E001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rsid w:val="00E00189"/>
    <w:tblPr>
      <w:tblStyleRowBandSize w:val="1"/>
      <w:tblStyleColBandSize w:val="1"/>
    </w:tblPr>
  </w:style>
  <w:style w:type="table" w:customStyle="1" w:styleId="a6">
    <w:basedOn w:val="TableNormal2"/>
    <w:rsid w:val="00E001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rsid w:val="00E00189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PNfbHdJocwMrhvSgkUaMvki9nA==">CgMxLjAyCGguZ2pkZ3hzOAByITFWOFdtYlBmLThTUXFnZU5SUWF6bXJERGtWQTlvcmlkNQ==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Admibn</dc:creator>
  <cp:lastModifiedBy>Angela Prisacaru</cp:lastModifiedBy>
  <cp:revision>7</cp:revision>
  <dcterms:created xsi:type="dcterms:W3CDTF">2024-01-25T05:31:00Z</dcterms:created>
  <dcterms:modified xsi:type="dcterms:W3CDTF">2024-04-23T14:57:00Z</dcterms:modified>
</cp:coreProperties>
</file>