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9A" w:rsidRDefault="009857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8579A" w:rsidRDefault="00C704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MINISTERUL EDUCAȚIEI ȘI CERCETĂRII AL REPUBLICII MOLDOVA</w:t>
      </w:r>
    </w:p>
    <w:p w:rsidR="0098579A" w:rsidRDefault="009857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8579A" w:rsidRDefault="009857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8579A" w:rsidRDefault="00C704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Discutat la Ședința Comisiei Metodice 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APROBAT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</w:t>
      </w:r>
    </w:p>
    <w:p w:rsidR="0098579A" w:rsidRDefault="00C704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D859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Șeful Comisiei metodice</w:t>
      </w:r>
    </w:p>
    <w:p w:rsidR="0098579A" w:rsidRDefault="009857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8579A" w:rsidRDefault="009857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8579A" w:rsidRDefault="00C704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PROIECT DIDACTIC DE LUNGĂ DURATĂ</w:t>
      </w:r>
    </w:p>
    <w:p w:rsidR="0098579A" w:rsidRDefault="00C704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LA DISCIPLINA ȘCOLARĂ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DEZVOLTARE PERSONALĂ</w:t>
      </w:r>
    </w:p>
    <w:p w:rsidR="0098579A" w:rsidRDefault="00C704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(elaborat de Grupul de lucru</w:t>
      </w:r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ordinului MEC nr.1544/2023</w:t>
      </w:r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579A" w:rsidRDefault="00C704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baza curriculumului la disciplină, aprobat prin ordinul MEC nr.1124 din 20 iulie 2018)</w:t>
      </w:r>
    </w:p>
    <w:p w:rsidR="0098579A" w:rsidRDefault="009857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8579A" w:rsidRDefault="00C704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Clasa a X - a</w:t>
      </w:r>
    </w:p>
    <w:p w:rsidR="0098579A" w:rsidRDefault="009857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98579A" w:rsidRDefault="00C704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Anul de studii:_________________</w:t>
      </w:r>
    </w:p>
    <w:p w:rsidR="0098579A" w:rsidRDefault="009857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79A" w:rsidRDefault="009857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79A" w:rsidRDefault="00C704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Instituția de învățământ _____________________________________ Localitatea  ______________________________</w:t>
      </w:r>
    </w:p>
    <w:p w:rsidR="0098579A" w:rsidRDefault="009857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79A" w:rsidRDefault="00C704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Numele, prenumele cadrului didactic__________________________ Grad didactic ____________________________</w:t>
      </w:r>
    </w:p>
    <w:p w:rsidR="0098579A" w:rsidRDefault="009857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E48" w:rsidRDefault="00830E48" w:rsidP="00B734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8791"/>
        </w:tabs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0E48" w:rsidRDefault="00830E48" w:rsidP="00B734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8791"/>
        </w:tabs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79A" w:rsidRPr="00B73464" w:rsidRDefault="00C704AE" w:rsidP="00B734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8791"/>
        </w:tabs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ADMINISTRAREA DISCIPLINEI</w:t>
      </w:r>
    </w:p>
    <w:tbl>
      <w:tblPr>
        <w:tblStyle w:val="a2"/>
        <w:tblW w:w="13763" w:type="dxa"/>
        <w:jc w:val="center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000" w:firstRow="0" w:lastRow="0" w:firstColumn="0" w:lastColumn="0" w:noHBand="0" w:noVBand="0"/>
      </w:tblPr>
      <w:tblGrid>
        <w:gridCol w:w="7614"/>
        <w:gridCol w:w="1275"/>
        <w:gridCol w:w="4874"/>
      </w:tblGrid>
      <w:tr w:rsidR="0098579A" w:rsidRPr="00B73464">
        <w:trPr>
          <w:cantSplit/>
          <w:trHeight w:val="277"/>
          <w:jc w:val="center"/>
        </w:trPr>
        <w:tc>
          <w:tcPr>
            <w:tcW w:w="7614" w:type="dxa"/>
            <w:vMerge w:val="restart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00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învățare</w:t>
            </w:r>
          </w:p>
        </w:tc>
        <w:tc>
          <w:tcPr>
            <w:tcW w:w="1275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57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4874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57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conținut la discreția profesorului (din ghidul profesorului)</w:t>
            </w:r>
          </w:p>
        </w:tc>
      </w:tr>
      <w:tr w:rsidR="0098579A" w:rsidRPr="00B73464">
        <w:trPr>
          <w:cantSplit/>
          <w:trHeight w:val="274"/>
          <w:jc w:val="center"/>
        </w:trPr>
        <w:tc>
          <w:tcPr>
            <w:tcW w:w="7614" w:type="dxa"/>
            <w:vMerge/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4874" w:type="dxa"/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>
        <w:trPr>
          <w:trHeight w:val="277"/>
          <w:jc w:val="center"/>
        </w:trPr>
        <w:tc>
          <w:tcPr>
            <w:tcW w:w="7614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 inițială. Lecție de consolidare a cunoștințelor..</w:t>
            </w:r>
          </w:p>
        </w:tc>
        <w:tc>
          <w:tcPr>
            <w:tcW w:w="1275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>
        <w:trPr>
          <w:trHeight w:val="277"/>
          <w:jc w:val="center"/>
        </w:trPr>
        <w:tc>
          <w:tcPr>
            <w:tcW w:w="7614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Identitatea personală și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relaționarea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armonioasă</w:t>
            </w:r>
          </w:p>
        </w:tc>
        <w:tc>
          <w:tcPr>
            <w:tcW w:w="1275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>
        <w:trPr>
          <w:trHeight w:val="274"/>
          <w:jc w:val="center"/>
        </w:trPr>
        <w:tc>
          <w:tcPr>
            <w:tcW w:w="7614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Asigurarea calității vieții</w:t>
            </w:r>
          </w:p>
        </w:tc>
        <w:tc>
          <w:tcPr>
            <w:tcW w:w="1275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>
        <w:trPr>
          <w:trHeight w:val="277"/>
          <w:jc w:val="center"/>
        </w:trPr>
        <w:tc>
          <w:tcPr>
            <w:tcW w:w="7614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Modul de viață sănătos</w:t>
            </w:r>
          </w:p>
        </w:tc>
        <w:tc>
          <w:tcPr>
            <w:tcW w:w="1275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>
        <w:trPr>
          <w:trHeight w:val="50"/>
          <w:jc w:val="center"/>
        </w:trPr>
        <w:tc>
          <w:tcPr>
            <w:tcW w:w="7614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Proiectarea carierei profesionale și dezvoltarea spiritului antreprenorial</w:t>
            </w:r>
          </w:p>
        </w:tc>
        <w:tc>
          <w:tcPr>
            <w:tcW w:w="1275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98579A" w:rsidRPr="00B73464">
        <w:trPr>
          <w:trHeight w:val="50"/>
          <w:jc w:val="center"/>
        </w:trPr>
        <w:tc>
          <w:tcPr>
            <w:tcW w:w="7614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Securitatea personală</w:t>
            </w:r>
          </w:p>
        </w:tc>
        <w:tc>
          <w:tcPr>
            <w:tcW w:w="1275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>
        <w:trPr>
          <w:trHeight w:val="50"/>
          <w:jc w:val="center"/>
        </w:trPr>
        <w:tc>
          <w:tcPr>
            <w:tcW w:w="7614" w:type="dxa"/>
          </w:tcPr>
          <w:p w:rsidR="0098579A" w:rsidRPr="00B73464" w:rsidRDefault="00BF2437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4AE"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 sumativă (finală).</w:t>
            </w:r>
          </w:p>
        </w:tc>
        <w:tc>
          <w:tcPr>
            <w:tcW w:w="1275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>
        <w:trPr>
          <w:trHeight w:val="50"/>
          <w:jc w:val="center"/>
        </w:trPr>
        <w:tc>
          <w:tcPr>
            <w:tcW w:w="7614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75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32 ore</w:t>
            </w:r>
          </w:p>
        </w:tc>
        <w:tc>
          <w:tcPr>
            <w:tcW w:w="4874" w:type="dxa"/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3464" w:rsidRDefault="00B73464" w:rsidP="00B734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8579A" w:rsidRPr="00B73464" w:rsidRDefault="00C704AE" w:rsidP="00B734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4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Manualul recomandat:</w:t>
      </w:r>
    </w:p>
    <w:tbl>
      <w:tblPr>
        <w:tblStyle w:val="a3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6492"/>
        <w:gridCol w:w="1985"/>
        <w:gridCol w:w="3118"/>
        <w:gridCol w:w="1418"/>
      </w:tblGrid>
      <w:tr w:rsidR="0098579A" w:rsidRPr="00B73464" w:rsidTr="00B73464">
        <w:tc>
          <w:tcPr>
            <w:tcW w:w="1588" w:type="dxa"/>
            <w:shd w:val="clear" w:color="auto" w:fill="EEECE1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Clasa </w:t>
            </w:r>
          </w:p>
        </w:tc>
        <w:tc>
          <w:tcPr>
            <w:tcW w:w="6492" w:type="dxa"/>
            <w:shd w:val="clear" w:color="auto" w:fill="EEECE1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Titlul </w:t>
            </w:r>
          </w:p>
        </w:tc>
        <w:tc>
          <w:tcPr>
            <w:tcW w:w="1985" w:type="dxa"/>
            <w:shd w:val="clear" w:color="auto" w:fill="EEECE1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Autori </w:t>
            </w:r>
          </w:p>
        </w:tc>
        <w:tc>
          <w:tcPr>
            <w:tcW w:w="3118" w:type="dxa"/>
            <w:shd w:val="clear" w:color="auto" w:fill="EEECE1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Editura </w:t>
            </w:r>
          </w:p>
        </w:tc>
        <w:tc>
          <w:tcPr>
            <w:tcW w:w="1418" w:type="dxa"/>
            <w:shd w:val="clear" w:color="auto" w:fill="EEECE1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Anul ediției </w:t>
            </w:r>
          </w:p>
        </w:tc>
      </w:tr>
      <w:tr w:rsidR="0098579A" w:rsidRPr="00B73464" w:rsidTr="00B73464">
        <w:tc>
          <w:tcPr>
            <w:tcW w:w="1588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 a X- a</w:t>
            </w:r>
          </w:p>
        </w:tc>
        <w:tc>
          <w:tcPr>
            <w:tcW w:w="6492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Dezvoltare personală. Ghidul profesorului. Clasa a X-a, aprobat prin ordinul Ministerului Educației, Culturii și Cercetării nr.463 din 26 februarie 20</w:t>
            </w:r>
          </w:p>
        </w:tc>
        <w:tc>
          <w:tcPr>
            <w:tcW w:w="1985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Keller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Corinna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Borer</w:t>
            </w:r>
            <w:proofErr w:type="spellEnd"/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Peter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Holzwarth</w:t>
            </w:r>
            <w:proofErr w:type="spellEnd"/>
          </w:p>
        </w:tc>
        <w:tc>
          <w:tcPr>
            <w:tcW w:w="3118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Universitatea Pedagogică din Zurich (Zurich University of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2020</w:t>
            </w:r>
          </w:p>
        </w:tc>
      </w:tr>
    </w:tbl>
    <w:p w:rsidR="0098579A" w:rsidRPr="00B73464" w:rsidRDefault="0098579A" w:rsidP="00B7346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79A" w:rsidRPr="00B73464" w:rsidRDefault="00C704AE" w:rsidP="00B7346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4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Notă: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Profesorul este în drept să selecteze </w:t>
      </w:r>
      <w:r w:rsidRPr="00B734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unitățile de conținut 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>din Curriculumul la disciplina Dezvoltarea personală</w:t>
      </w:r>
      <w:r w:rsidRPr="00B734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 </w:t>
      </w:r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>din G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>hidul profesorului, cu condiția păstrării numărului de ore conform recomandărilor curriculare (6 ore per modul), o lecție de evaluare inițială și o lecție de evaluare finală, în rest</w:t>
      </w:r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>, se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selectează și </w:t>
      </w:r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adaugă orele </w:t>
      </w:r>
      <w:r w:rsidRPr="00B734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 discreția profesorului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modulului</w:t>
      </w:r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corespundere cu numărul de săptămâni conform </w:t>
      </w:r>
      <w:r w:rsidRPr="00B734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Planului-cadru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>. Unitățile de conținut cu</w:t>
      </w:r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>asterix</w:t>
      </w:r>
      <w:proofErr w:type="spellEnd"/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(*) sunt preluate din G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hidul profesorului pentru clasa respectivă. Aceste ore pot fi modificate la discreția profesorului, în raport cu necesitățile colectivului de elevi, dar </w:t>
      </w:r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>va asigura atingerea unităților de competență pe care trebuie să le dețină elevii la această unitate de învățare.</w:t>
      </w:r>
    </w:p>
    <w:p w:rsidR="00B73464" w:rsidRDefault="00B73464" w:rsidP="00B7346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ind w:right="-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79A" w:rsidRPr="00B73464" w:rsidRDefault="00C704AE" w:rsidP="00B7346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ind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Competențe specifice disciplinei:</w:t>
      </w:r>
    </w:p>
    <w:p w:rsidR="0098579A" w:rsidRPr="00B73464" w:rsidRDefault="00C704AE" w:rsidP="00B734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791"/>
        </w:tabs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Exprimarea identității personale în relaționarea constructivă cu familia și ceilalți, prin explorarea sinelui și </w:t>
      </w:r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>resurselor sociale;</w:t>
      </w:r>
    </w:p>
    <w:p w:rsidR="0098579A" w:rsidRPr="00B73464" w:rsidRDefault="00C704AE" w:rsidP="00B734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13"/>
          <w:tab w:val="left" w:pos="914"/>
          <w:tab w:val="left" w:pos="8791"/>
        </w:tabs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>2. Demonstrarea autonomiei personale în realizarea unui comportament orientat spre valorificarea optimă a resurselor personale și a mediului de viață;</w:t>
      </w:r>
    </w:p>
    <w:p w:rsidR="0098579A" w:rsidRPr="00B73464" w:rsidRDefault="00C704AE" w:rsidP="00B734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13"/>
          <w:tab w:val="left" w:pos="914"/>
          <w:tab w:val="left" w:pos="8791"/>
        </w:tabs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>3. Manifestarea comportamentului centrat pe modul de viață sănătos, prin implicare activă în menținerea sănătății proprii;</w:t>
      </w:r>
    </w:p>
    <w:p w:rsidR="0098579A" w:rsidRPr="00B73464" w:rsidRDefault="00C704AE" w:rsidP="00B734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13"/>
          <w:tab w:val="left" w:pos="914"/>
          <w:tab w:val="left" w:pos="8791"/>
        </w:tabs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>4. Proiectarea carierei, prin determinarea traseului școlar și/sau profesional, din perspectiva valorificării potențialului personal și oportunităților pieței muncii;</w:t>
      </w:r>
    </w:p>
    <w:p w:rsidR="0098579A" w:rsidRPr="00B73464" w:rsidRDefault="00C704AE" w:rsidP="00B734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13"/>
          <w:tab w:val="left" w:pos="914"/>
          <w:tab w:val="left" w:pos="8791"/>
        </w:tabs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>5. A</w:t>
      </w:r>
      <w:r w:rsidR="00BF2437">
        <w:rPr>
          <w:rFonts w:ascii="Times New Roman" w:eastAsia="Times New Roman" w:hAnsi="Times New Roman" w:cs="Times New Roman"/>
          <w:color w:val="000000"/>
          <w:sz w:val="24"/>
          <w:szCs w:val="24"/>
        </w:rPr>
        <w:t>doptarea comportamentului activ</w:t>
      </w:r>
      <w:r w:rsidRPr="00B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securitatea personală, centrat pe responsabilitate pentru starea de bine a sa și a celor din jur.</w:t>
      </w:r>
    </w:p>
    <w:p w:rsidR="0098579A" w:rsidRPr="00B73464" w:rsidRDefault="0098579A" w:rsidP="00B7346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79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79A" w:rsidRDefault="00C704AE" w:rsidP="00B7346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3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PROIECTAREA DIDACTICĂ A UNITĂȚILOR DE ÎNVĂȚARE / UNITĂȚILOR DE CONȚINUT</w:t>
      </w:r>
    </w:p>
    <w:p w:rsidR="00B73464" w:rsidRPr="00B73464" w:rsidRDefault="00B73464" w:rsidP="00B7346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4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4503"/>
        <w:gridCol w:w="1278"/>
        <w:gridCol w:w="8"/>
        <w:gridCol w:w="664"/>
        <w:gridCol w:w="23"/>
        <w:gridCol w:w="729"/>
        <w:gridCol w:w="8"/>
        <w:gridCol w:w="4094"/>
        <w:gridCol w:w="1418"/>
      </w:tblGrid>
      <w:tr w:rsidR="0098579A" w:rsidRPr="00B73464" w:rsidTr="00B73464">
        <w:trPr>
          <w:trHeight w:val="633"/>
        </w:trPr>
        <w:tc>
          <w:tcPr>
            <w:tcW w:w="1876" w:type="dxa"/>
            <w:shd w:val="clear" w:color="auto" w:fill="DDD9C3" w:themeFill="background2" w:themeFillShade="E6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competențe</w:t>
            </w:r>
          </w:p>
        </w:tc>
        <w:tc>
          <w:tcPr>
            <w:tcW w:w="45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1"/>
              </w:tabs>
              <w:ind w:right="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Unități de conținut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1"/>
              </w:tabs>
              <w:ind w:right="2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Sarcina conform ghidului</w:t>
            </w:r>
          </w:p>
        </w:tc>
        <w:tc>
          <w:tcPr>
            <w:tcW w:w="672" w:type="dxa"/>
            <w:gridSpan w:val="2"/>
            <w:shd w:val="clear" w:color="auto" w:fill="DDD9C3" w:themeFill="background2" w:themeFillShade="E6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ore</w:t>
            </w:r>
          </w:p>
        </w:tc>
        <w:tc>
          <w:tcPr>
            <w:tcW w:w="752" w:type="dxa"/>
            <w:gridSpan w:val="2"/>
            <w:shd w:val="clear" w:color="auto" w:fill="DDD9C3" w:themeFill="background2" w:themeFillShade="E6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102" w:type="dxa"/>
            <w:gridSpan w:val="2"/>
            <w:shd w:val="clear" w:color="auto" w:fill="DDD9C3" w:themeFill="background2" w:themeFillShade="E6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Activități de învățare și produse recomandate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98579A" w:rsidRPr="00B73464" w:rsidTr="00B73464">
        <w:tc>
          <w:tcPr>
            <w:tcW w:w="1876" w:type="dxa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Autoevaluarea competențelor adiționate în anul precedent de studiu</w:t>
            </w:r>
          </w:p>
        </w:tc>
        <w:tc>
          <w:tcPr>
            <w:tcW w:w="4503" w:type="dxa"/>
            <w:tcBorders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 inițială (predictivă).</w:t>
            </w:r>
          </w:p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Lecție de consolidare a cunoștințelor. </w:t>
            </w:r>
          </w:p>
        </w:tc>
        <w:tc>
          <w:tcPr>
            <w:tcW w:w="127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5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gridSpan w:val="2"/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Recapitularea cunoștințelor. </w:t>
            </w: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Planificarea produselor cu elevii. Determinarea împreună cu elevii a criteriilor de succes pentru produse.</w:t>
            </w:r>
          </w:p>
        </w:tc>
        <w:tc>
          <w:tcPr>
            <w:tcW w:w="1418" w:type="dxa"/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c>
          <w:tcPr>
            <w:tcW w:w="14601" w:type="dxa"/>
            <w:gridSpan w:val="10"/>
            <w:shd w:val="clear" w:color="auto" w:fill="auto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Dimensiunea 1. Unitatea de învățare</w:t>
            </w:r>
            <w:r w:rsidR="00BF2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Identitatea personală și </w:t>
            </w:r>
            <w:r w:rsidRPr="00B734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relaționarea</w:t>
            </w:r>
            <w:r w:rsidRPr="00B73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armonioasă (6 ore)</w:t>
            </w: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 w:val="restart"/>
            <w:tcBorders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Identificarea factorilor care influențează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autoefi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cacitatea</w:t>
            </w:r>
            <w:proofErr w:type="spellEnd"/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în evoluția personală.</w:t>
            </w:r>
          </w:p>
          <w:p w:rsidR="0098579A" w:rsidRPr="00B73464" w:rsidRDefault="00C704AE" w:rsidP="00B73464">
            <w:pPr>
              <w:pStyle w:val="Normal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  <w:tab w:val="left" w:pos="1968"/>
                <w:tab w:val="left" w:pos="2020"/>
              </w:tabs>
              <w:ind w:left="0" w:right="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Compararea percepțiilor despre tradițional și modern î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relațiile de cuplu și familie.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</w:tabs>
              <w:ind w:right="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</w:tabs>
              <w:ind w:right="1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Explicarea impactului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stereotipurilor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prejudecăților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asupra comportamentului și relațiilor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interpersonale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inclusiv de gen.</w:t>
            </w: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Autoeficacitatea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calea de utilizare a resurselor personale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Opinii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personale despre succes și eșec. Atribuirea cauzelor succesului și eșecului. Strategii de dezvoltare a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autoeficacității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 pag. 16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F24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Exerciții de dezvoltare a 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încrederii în capacitățile personale.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Elaborarea unei liste individuale a strategiilor eficiente și sănătoase de depășire a situațiil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cu impact emoțional puternic.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Exercițiu de elaborare a unui plan de dezvoltare pe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rsonală pe următorii 3/5/10 ani.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Tipurile de comunicare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(verbală, non- verbală,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paraverbală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intrapersonală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interpersonală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grup). Factori implicați în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comunicare. Bariere ale comunicării.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S2 pag.18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Analiza studiilor de caz cu referire la gestionarea eficientă a emoțiilor asociate 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situațiilor stresante din viață.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  <w:trHeight w:val="54"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*Așteptări realiste în relații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S3 pag. 20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Ghidul profesorului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  <w:trHeight w:val="1189"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Stereotipurile și prejudecățile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gen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Impactul stereotipurilor și 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prejudecăților asupra comportamentului și relațiilor interpersonale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Factorii de menținere a relațiilor. Strategii de combatere a stereotipurilor și prejudecăților.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surselor de formare și menținere a stereotipurilor  și preju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decăților.</w:t>
            </w:r>
          </w:p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Dezbateri în baza materialelor mass-media, 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textelor literare, 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filmelor vizionate cu privire la stereotipuri și  prejudecăți.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Familia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Valori, tradiții, viziuni. Roluri și responsabilități de gen în familie – tradițional </w:t>
            </w:r>
            <w:proofErr w:type="spellStart"/>
            <w:r w:rsidRPr="00BF24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vs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modern.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S4 pag. 22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Discuție dirijată: Rolurile în familia tradițională și cea modernă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  <w:trHeight w:val="54"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BF2437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2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Lecţie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sinteză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autoevaluare.</w:t>
            </w:r>
          </w:p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Produs: 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Proiect de grup </w:t>
            </w: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„Tradițional și modern în relațiile din familie”, „Roluri și responsabilități fără stereotipuri”.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Prezentarea produselor. Autoevaluarea în baza fișei cu criteriile de succes și completarea tabelului de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performanţă</w:t>
            </w:r>
            <w:proofErr w:type="spellEnd"/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c>
          <w:tcPr>
            <w:tcW w:w="14601" w:type="dxa"/>
            <w:gridSpan w:val="10"/>
            <w:shd w:val="clear" w:color="auto" w:fill="auto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Dimensiunea 2. Unitatea de învățare</w:t>
            </w:r>
            <w:r w:rsidR="00BF2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Asigurarea calității vieții (6 ore)</w:t>
            </w:r>
          </w:p>
        </w:tc>
      </w:tr>
      <w:tr w:rsidR="0098579A" w:rsidRPr="00B73464" w:rsidTr="00B73464">
        <w:trPr>
          <w:cantSplit/>
          <w:trHeight w:val="1118"/>
        </w:trPr>
        <w:tc>
          <w:tcPr>
            <w:tcW w:w="1876" w:type="dxa"/>
            <w:vMerge w:val="restart"/>
            <w:tcBorders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oportunităților și beneficiilor unei persoane integre, din perspectiva rela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ționării cu mediul său de viață.</w:t>
            </w:r>
          </w:p>
          <w:p w:rsidR="0098579A" w:rsidRPr="00B73464" w:rsidRDefault="00C704AE" w:rsidP="00B73464">
            <w:pPr>
              <w:pStyle w:val="Normal1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Argumentarea posibilității de obținere a unor dimensiuni ale vieții de calitate, prin deschiderea spre schi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mbare și gestionarea resurselor.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579A" w:rsidRPr="00B73464" w:rsidRDefault="00C704AE" w:rsidP="00B73464">
            <w:pPr>
              <w:pStyle w:val="Normal1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Luarea unor decizii privind strategiile de atingere a idealului vieții, prin valorificarea resurselor și prin implicare activă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10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Idealul vieții: viziuni și strategii de realizare.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Ideal, factorii de influență. Rolul modelelor. Modalități de atingere a idealului: posibilități și limite.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S8 pag. 32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Implicarea în dezbateri academice: „Idealul vieții: capriciu p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ersonal sau necesitate vitală?”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10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Dimensiuni ale unei vieți de calitate.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Viața personală: viziuni și tendințe de realizare.</w:t>
            </w:r>
          </w:p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10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Viața profesională, realizarea în carieră, caracteristici. Echilibrarea vieții personale și a  carierei.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S6 pag. 28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diferitor relatări despre percepția cetățenilor din comunitate cu referire la ca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zurile de corupție identificate.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  <w:trHeight w:val="601"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10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Profilul persoanei integre.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Valorile morale și integritatea persoanei. Beneficiile unei persoane integre. Posibilități ale manifestării integrității.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S5 pag. 26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Discuție-Panel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Bene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ficiile și riscurile schimbării.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Atitudinea tân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ărului modern față de schimbare.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Prezentarea unor secvențe de film despre idealuri și reușita unor personalități.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10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Provocările și schimbarea: acțiuni și riscuri.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Schimbarea ca fenomen constant. Necesitatea schimbării.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Beneficiile schimbării.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Dezvoltarea socială și personală. Deschiderea spre schimbare, comportamentul adecvat.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S7 pag.30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 unor concursuri ale erudiților despre cele mai reușite strategii de î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nvățare și afirmare a persoanei.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ind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10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Tipurile de resurse pentru o bună gospodărire.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Reprezentări despre buna gospodărire. Prioritățile vieții și buna gospodărire. Mentalitatea ca resursă principală a bunei gospodăriri. Utilizarea rațională a resurselor în raport cu sistemul de valori. Familia și copiii. Necesitatea investirii în educația copiilor. Căminul familial.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Realizarea posterului/ dezbateri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 înseamnă să fii un bun gospodar; Buna gospodărire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între tradiție, ster</w:t>
            </w:r>
            <w:r w:rsidR="00B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eotipuri și abordări rezonabile.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10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Lecţie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sinteză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autoevaluare. Pentru o viață de calitate, consum produse de calitate.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Calitatea produselor. Criterii de apreciere. Consumul echilibrat. Influența socială asupra consumului.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Produs: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Elaborarea unei liste de reguli privind selectarea și consumul echilibrat al produselor de calitate. Prezentarea produselor. Autoevaluarea în baza fișei cu criteriile de succes și completarea tabelului de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performanţă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c>
          <w:tcPr>
            <w:tcW w:w="14601" w:type="dxa"/>
            <w:gridSpan w:val="10"/>
            <w:shd w:val="clear" w:color="auto" w:fill="auto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Dimensiunea 3. Unitatea de învățare</w:t>
            </w:r>
            <w:r w:rsidR="00AB6C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Modul de viață sănătos (6 ore)</w:t>
            </w: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 w:val="restart"/>
            <w:tcBorders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Analiza impactului relațiilor sexuale neprotejate, din perspectiva riscului pentru sănătate și 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consecințelor de ordin social.</w:t>
            </w:r>
          </w:p>
          <w:p w:rsidR="0098579A" w:rsidRPr="00B73464" w:rsidRDefault="00AB6CE1" w:rsidP="00B73464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Stabilirea </w:t>
            </w:r>
            <w:r w:rsidR="00C704AE"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relației dintre modul de viață și consecințele asupra sănătății: oboseală, </w:t>
            </w:r>
            <w:r w:rsidR="00C704AE"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extenuare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obezitate etc.</w:t>
            </w:r>
          </w:p>
          <w:p w:rsidR="0098579A" w:rsidRPr="00B73464" w:rsidRDefault="00C704AE" w:rsidP="00B73464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Aprecierea rolului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imunității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imunizării asupra sănătății proprii și a celor din jur.</w:t>
            </w: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AB6CE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Conceptul </w:t>
            </w:r>
            <w:r w:rsidRPr="00AB6C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modul de viață sănătos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Bazele cunoștințelor medicale, cu referință la modul de viață sănătos.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5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Prezentarea unor informații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privind modul sănătos de viață.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5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Curba fiziologică a capacității de muncă intelectuală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Durata activității intelectuale. Efortul intelectual. Repartizarea sarcinilor în timp.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5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Realizarea sondajelor despre factorii ce influențează dezvoltarea ca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pacității de muncă intelectuală.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Modalitățile de diminuare a stresului și oboselii.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Cauze ale stresului. Mod de manifestare. Modalități de diminuare a oboselii și extenuării.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S9 pag.36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5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unor sugestii pentru colegul de bancă, privind d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iminuarea stresului și oboselii.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Tulburările de nutriție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Obezitatea: atitudinea față de oamenii obezi. Bulimia. Anorexia. Modalități de depășire și de prevenire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S12 pag.42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5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cazurilor de obezitate, bulimie, anorexie și a modalită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ților de diminuare ale acestora.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5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Relațiile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sexuale neprotejate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Responsabilitatea partenerilor. Riscuri de ordin psihofiziologic și social. Consecințe.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S10 pag. 38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5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Redactarea unor fișe informaționale referitoare la pericolul relațiilor sexuale neprotejate.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5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  <w:trHeight w:val="1153"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Lecţie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sinteză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autoevaluare. Imunizarea și imunitatea.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Imunizarea, proces natural și artificial. Atitudinea față de imunizarea artificială. Mituri și beneficii. Modul de viață și imunitatea.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S11 pag. 40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Produs: 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Pliant, elaborat în grup </w:t>
            </w:r>
            <w:r w:rsidRPr="00B73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(care va fi repartizat în instituție): </w:t>
            </w: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Imunizare și imunitate – impact asupra sănătății</w:t>
            </w:r>
            <w:r w:rsidR="00AB6C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5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Prezentarea produselor. Autoevaluarea în baza fișei cu criteriile de succes și completarea tabelului de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performanţă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c>
          <w:tcPr>
            <w:tcW w:w="14601" w:type="dxa"/>
            <w:gridSpan w:val="10"/>
            <w:shd w:val="clear" w:color="auto" w:fill="auto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Dimensiunea 4. Unitatea de învățare: </w:t>
            </w:r>
            <w:r w:rsidRPr="00B73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Proiectarea carierei profesionale și dezvoltarea spiritului antreprenorial (6 ore)+1</w:t>
            </w: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 w:val="restart"/>
            <w:tcBorders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lastRenderedPageBreak/>
              <w:t>Stabilirea relației dintre tendințele de dezvoltare a pieței muncii la nivel global și impactul acestora asupra pieței muncii din RM, din perspectiva alegerii viitoarei profesii</w:t>
            </w:r>
            <w:r w:rsidR="00AB6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8579A" w:rsidRPr="00AB6CE1" w:rsidRDefault="00C704AE" w:rsidP="00060D5D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CE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Utilizarea tehnicilor și metodelor de comunicare/interacțiune cu angajatorii în proce</w:t>
            </w:r>
            <w:r w:rsidRP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 de</w:t>
            </w:r>
            <w:r w:rsidR="00AB6CE1" w:rsidRP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CE1">
              <w:rPr>
                <w:rFonts w:ascii="Times New Roman" w:eastAsia="Times New Roman" w:hAnsi="Times New Roman" w:cs="Times New Roman"/>
                <w:sz w:val="24"/>
                <w:szCs w:val="24"/>
              </w:rPr>
              <w:t>căutare</w:t>
            </w:r>
            <w:r w:rsidR="00AB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6CE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unui loc de muncă;</w:t>
            </w:r>
          </w:p>
          <w:p w:rsidR="0098579A" w:rsidRPr="00B73464" w:rsidRDefault="00C704AE" w:rsidP="00B73464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Argumentarea deciziei în planificarea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carierei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din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perspectiva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compatibilității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aptitudinilor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capacităților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valorilor și așteptărilor sale cu cerințele specifice ale pieței muncii.</w:t>
            </w: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ind w:right="23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Preferințele profesionale și dezvoltarea carierei.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Cariera. Planificarea carierei. Scopuri/Obiective. Studii, profesie, ocupație.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Ofertele educaționale ale sistemului de învățământ din RM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Sistemul de învățământ. Trasee și oferte educaționale. Preferințe, interese și studii.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S16 pag.52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Informarea, din diverse surse, despre ofertele educaționale existente în R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și solicitările pieței muncii.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Selectarea studiilor care se potrivesc cel mai bine cu in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teresele/preferințele elevilor.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Aplicarea testului „Harta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Intereselor”.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Analiza listelor de prieteni virtuali și reali din perspectiva acumulării informațiilor, cu referire la do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meniile profesionale de interes.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Aptitudinile, aspirațiile, scopurile în proiectarea carierei.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Aptitudini și tipuri de abilități. Valoarea aptitudinilor, abilităților și atitudinilor pentru proiectarea carierei.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Completarea profilului personal pe rețelele de socializare, accentuând punctele forte, ce merită a fi văzute de un posibil angajator care ar putea să vizualizeze pagina d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profil.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Rețelele sociale (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networking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Noțiunea de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networking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social. Tehnici de menținere și dezvoltare a rețelei sociale. Persoane-resursă.  CV electronic.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*S13 pag.46</w:t>
            </w:r>
          </w:p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S14 pag. 48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(1)</w:t>
            </w:r>
          </w:p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Formularea unor argumente cu referință la decizia de a deveni voluntar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Voluntariatul și traseele paralele.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Domenii și activități de voluntariat. Voluntariat pentru mediu, pentru oameni nevoiași și persoane în etate etc.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S15 pag.50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Întocmirea unor liste cu experiențe personale care ar putea fi valoroase pentru CV;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Antreprenoriatul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opțiune în carieră.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Activitatea de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antreprenoriat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Beneficii și riscuri. Oportunități antreprenoriale în comunitate.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Tipurile de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antreprenoriat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după forma organizatorică.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Proiectarea carierei. Interesele și dezvoltarea carierei. Stiluri decizionale și carieră.</w:t>
            </w: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Produs 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Proiectul de carieră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Elaborarea unui Proiect de carieră, în care se trec toate scopurile/obiectivele ce țin de viitoarea profesie și studiile pe care ar dori să le urmeze.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Prezentarea produselor. Autoevaluarea în baza fișei cu criteriile de succes și completarea tabelului de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performanţă</w:t>
            </w:r>
            <w:proofErr w:type="spellEnd"/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8579A" w:rsidRPr="00B73464" w:rsidRDefault="0098579A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79A" w:rsidRPr="00B73464" w:rsidTr="00B73464">
        <w:tc>
          <w:tcPr>
            <w:tcW w:w="14601" w:type="dxa"/>
            <w:gridSpan w:val="10"/>
            <w:shd w:val="clear" w:color="auto" w:fill="auto"/>
          </w:tcPr>
          <w:p w:rsidR="0098579A" w:rsidRPr="00B73464" w:rsidRDefault="00C704AE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Dimensiunea 5. Unitatea de învățare</w:t>
            </w:r>
            <w:r w:rsidR="00AB6C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4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Securitatea personală (6 ore)</w:t>
            </w:r>
          </w:p>
        </w:tc>
      </w:tr>
      <w:tr w:rsidR="00B73464" w:rsidRPr="00B73464" w:rsidTr="00B73464">
        <w:trPr>
          <w:cantSplit/>
        </w:trPr>
        <w:tc>
          <w:tcPr>
            <w:tcW w:w="1876" w:type="dxa"/>
            <w:vMerge w:val="restart"/>
            <w:tcBorders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59"/>
              </w:tabs>
              <w:ind w:left="0" w:right="34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Descrierea explicită a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comportamen-telor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recomandate în cazul stărilor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urgență, pericol, accidente.</w:t>
            </w:r>
          </w:p>
          <w:p w:rsidR="00B73464" w:rsidRPr="00B73464" w:rsidRDefault="00B73464" w:rsidP="00B73464">
            <w:pPr>
              <w:pStyle w:val="Normal1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Respectarea regulilor de circulație rutieră, cu asumarea responsabilității pentru securit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atea proprie și a celor din jur.</w:t>
            </w:r>
          </w:p>
          <w:p w:rsidR="00B73464" w:rsidRPr="00B73464" w:rsidRDefault="00B73464" w:rsidP="00B73464">
            <w:pPr>
              <w:pStyle w:val="Normal1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left="0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Manifestarea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unui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regulamentar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în locuri cu risc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social, în mediul virtual, centrat pe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cunoașterea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recomandărilor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normative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right="10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Concepte generale de pericol și situații de urgență. Riscurile asociate perioadei reci a anului.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Definire, consecințe nefaste posibile,  modalități de acțiune.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Protejarea în cazul utilizării bazinelor acvatice înghețate. Pericol de înec. Prim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ajutor. Acțiuni întreprinse în cazul întroienirilor. Prim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ajutor în caz de îngheț. Regimul de apărare împotriva incendiilor în timpul desfășurării activităților culturale în masă.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Elaborarea reprezentărilor grafice (tabele, scheme), conceptual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referire la peri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colele și situațiile de urgență.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Studiu de caz: </w:t>
            </w: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Situație de risc și pericol general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464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10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Protecția omului la locul de muncă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right="10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Situații de risc și pericole. Reguli de comportament. Surse de informare.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S17 pag.56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Discuții dirijate despre protecția omului la locul de muncă: prevenirea accidentelor de muncă prin respectarea instrucțiunilor cu privire la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locului muncii; echipamente personale de protecție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necesare pentru activitatea de muncă; responsabilitățile angajaților în p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revenirea accidentelor de muncă.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464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Comportamentul sigur în locuri cu risc și grad înalt de criminalitate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Caracteristici. Cauze. Mod de evitare. Modalități de acțiune.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AB6CE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Elaborarea și discutarea subiectului </w:t>
            </w: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Harta locurilor periculoase, cu grad înalt de criminalitate în comunitate</w:t>
            </w:r>
            <w:r w:rsidR="00AB6C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464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Regulile de circulație rutieră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Drepturi și responsabilități.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S20 pag.62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Atelier de discuție</w:t>
            </w:r>
            <w:r w:rsidR="0043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Drumurile publice. Drepturi și responsabilități</w:t>
            </w:r>
            <w:r w:rsidR="0043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Vizionarea filmelor educative</w:t>
            </w:r>
            <w:r w:rsidR="0043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despre prevenirea accidentelor.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464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Grooming-ul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tehnici de contact on-line periculoase. 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Esența fenomenului. Mod de manifestare. Situații posibile. Modalități de prevenire și acțiuni</w:t>
            </w:r>
            <w:r w:rsidR="00AB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 18 pag.58</w:t>
            </w:r>
          </w:p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S19 pag.60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Proiect de cercetare cu referire la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Grooming</w:t>
            </w:r>
            <w:proofErr w:type="spellEnd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impactul acestuia.</w:t>
            </w:r>
          </w:p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464" w:rsidRPr="00B73464" w:rsidTr="00B73464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AB6CE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3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Protecția civilă</w:t>
            </w:r>
            <w:r w:rsidR="00AB6C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instituție și reguli de securitate colectivă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Reguli. Cunoștințe și abilități necesare.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Produs: </w:t>
            </w: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Organizarea și desfășurarea protecției civile la nivel de instituție (evacuarea).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Autoevaluarea în baza fișei cu criteriile de succes și completarea tabelului de </w:t>
            </w:r>
            <w:proofErr w:type="spellStart"/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performanţă</w:t>
            </w:r>
            <w:proofErr w:type="spellEnd"/>
            <w:r w:rsidR="0043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464" w:rsidRPr="00B73464" w:rsidTr="00593F93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Lecție de evaluare finală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Completarea tabelului de </w:t>
            </w:r>
            <w:r w:rsidRPr="00B73464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performanță</w:t>
            </w:r>
            <w:r w:rsidRPr="00B7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Discutarea planurilor de viitor.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464" w:rsidRPr="00B73464" w:rsidTr="00593F93">
        <w:trPr>
          <w:cantSplit/>
        </w:trPr>
        <w:tc>
          <w:tcPr>
            <w:tcW w:w="1876" w:type="dxa"/>
            <w:vMerge/>
            <w:tcBorders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B73464" w:rsidRPr="00B73464" w:rsidRDefault="00B73464" w:rsidP="00B734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579A" w:rsidRPr="00B73464" w:rsidRDefault="0098579A" w:rsidP="00B734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579A" w:rsidRPr="00B73464" w:rsidSect="00B73464">
      <w:pgSz w:w="16840" w:h="11910" w:orient="landscape"/>
      <w:pgMar w:top="1134" w:right="1134" w:bottom="1134" w:left="1134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580"/>
    <w:multiLevelType w:val="multilevel"/>
    <w:tmpl w:val="D4568666"/>
    <w:lvl w:ilvl="0">
      <w:start w:val="4"/>
      <w:numFmt w:val="decimal"/>
      <w:lvlText w:val="%1"/>
      <w:lvlJc w:val="left"/>
      <w:pPr>
        <w:ind w:left="763" w:hanging="398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63" w:hanging="398"/>
      </w:pPr>
      <w:rPr>
        <w:rFonts w:ascii="Times New Roman" w:eastAsia="Times New Roman" w:hAnsi="Times New Roman" w:cs="Times New Roman"/>
        <w:color w:val="000009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308" w:hanging="397"/>
      </w:pPr>
      <w:rPr>
        <w:vertAlign w:val="baseline"/>
      </w:rPr>
    </w:lvl>
    <w:lvl w:ilvl="3">
      <w:numFmt w:val="bullet"/>
      <w:lvlText w:val="•"/>
      <w:lvlJc w:val="left"/>
      <w:pPr>
        <w:ind w:left="1582" w:hanging="398"/>
      </w:pPr>
      <w:rPr>
        <w:vertAlign w:val="baseline"/>
      </w:rPr>
    </w:lvl>
    <w:lvl w:ilvl="4">
      <w:numFmt w:val="bullet"/>
      <w:lvlText w:val="•"/>
      <w:lvlJc w:val="left"/>
      <w:pPr>
        <w:ind w:left="1856" w:hanging="398"/>
      </w:pPr>
      <w:rPr>
        <w:vertAlign w:val="baseline"/>
      </w:rPr>
    </w:lvl>
    <w:lvl w:ilvl="5">
      <w:numFmt w:val="bullet"/>
      <w:lvlText w:val="•"/>
      <w:lvlJc w:val="left"/>
      <w:pPr>
        <w:ind w:left="2131" w:hanging="398"/>
      </w:pPr>
      <w:rPr>
        <w:vertAlign w:val="baseline"/>
      </w:rPr>
    </w:lvl>
    <w:lvl w:ilvl="6">
      <w:numFmt w:val="bullet"/>
      <w:lvlText w:val="•"/>
      <w:lvlJc w:val="left"/>
      <w:pPr>
        <w:ind w:left="2405" w:hanging="398"/>
      </w:pPr>
      <w:rPr>
        <w:vertAlign w:val="baseline"/>
      </w:rPr>
    </w:lvl>
    <w:lvl w:ilvl="7">
      <w:numFmt w:val="bullet"/>
      <w:lvlText w:val="•"/>
      <w:lvlJc w:val="left"/>
      <w:pPr>
        <w:ind w:left="2679" w:hanging="398"/>
      </w:pPr>
      <w:rPr>
        <w:vertAlign w:val="baseline"/>
      </w:rPr>
    </w:lvl>
    <w:lvl w:ilvl="8">
      <w:numFmt w:val="bullet"/>
      <w:lvlText w:val="•"/>
      <w:lvlJc w:val="left"/>
      <w:pPr>
        <w:ind w:left="2953" w:hanging="398"/>
      </w:pPr>
      <w:rPr>
        <w:vertAlign w:val="baseline"/>
      </w:rPr>
    </w:lvl>
  </w:abstractNum>
  <w:abstractNum w:abstractNumId="1" w15:restartNumberingAfterBreak="0">
    <w:nsid w:val="19E51B43"/>
    <w:multiLevelType w:val="multilevel"/>
    <w:tmpl w:val="17BCE74A"/>
    <w:lvl w:ilvl="0">
      <w:start w:val="1"/>
      <w:numFmt w:val="decimal"/>
      <w:lvlText w:val="%1"/>
      <w:lvlJc w:val="left"/>
      <w:pPr>
        <w:ind w:left="475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084" w:hanging="420"/>
      </w:pPr>
      <w:rPr>
        <w:vertAlign w:val="baseline"/>
      </w:rPr>
    </w:lvl>
    <w:lvl w:ilvl="3">
      <w:numFmt w:val="bullet"/>
      <w:lvlText w:val="•"/>
      <w:lvlJc w:val="left"/>
      <w:pPr>
        <w:ind w:left="1386" w:hanging="420"/>
      </w:pPr>
      <w:rPr>
        <w:vertAlign w:val="baseline"/>
      </w:rPr>
    </w:lvl>
    <w:lvl w:ilvl="4">
      <w:numFmt w:val="bullet"/>
      <w:lvlText w:val="•"/>
      <w:lvlJc w:val="left"/>
      <w:pPr>
        <w:ind w:left="1688" w:hanging="420"/>
      </w:pPr>
      <w:rPr>
        <w:vertAlign w:val="baseline"/>
      </w:rPr>
    </w:lvl>
    <w:lvl w:ilvl="5">
      <w:numFmt w:val="bullet"/>
      <w:lvlText w:val="•"/>
      <w:lvlJc w:val="left"/>
      <w:pPr>
        <w:ind w:left="1990" w:hanging="420"/>
      </w:pPr>
      <w:rPr>
        <w:vertAlign w:val="baseline"/>
      </w:rPr>
    </w:lvl>
    <w:lvl w:ilvl="6">
      <w:numFmt w:val="bullet"/>
      <w:lvlText w:val="•"/>
      <w:lvlJc w:val="left"/>
      <w:pPr>
        <w:ind w:left="2292" w:hanging="420"/>
      </w:pPr>
      <w:rPr>
        <w:vertAlign w:val="baseline"/>
      </w:rPr>
    </w:lvl>
    <w:lvl w:ilvl="7">
      <w:numFmt w:val="bullet"/>
      <w:lvlText w:val="•"/>
      <w:lvlJc w:val="left"/>
      <w:pPr>
        <w:ind w:left="2594" w:hanging="420"/>
      </w:pPr>
      <w:rPr>
        <w:vertAlign w:val="baseline"/>
      </w:rPr>
    </w:lvl>
    <w:lvl w:ilvl="8">
      <w:numFmt w:val="bullet"/>
      <w:lvlText w:val="•"/>
      <w:lvlJc w:val="left"/>
      <w:pPr>
        <w:ind w:left="2896" w:hanging="420"/>
      </w:pPr>
      <w:rPr>
        <w:vertAlign w:val="baseline"/>
      </w:rPr>
    </w:lvl>
  </w:abstractNum>
  <w:abstractNum w:abstractNumId="2" w15:restartNumberingAfterBreak="0">
    <w:nsid w:val="41690B47"/>
    <w:multiLevelType w:val="multilevel"/>
    <w:tmpl w:val="A4C80858"/>
    <w:lvl w:ilvl="0">
      <w:start w:val="2"/>
      <w:numFmt w:val="decimal"/>
      <w:lvlText w:val="%1"/>
      <w:lvlJc w:val="left"/>
      <w:pPr>
        <w:ind w:left="512" w:hanging="457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12" w:hanging="457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116" w:hanging="458"/>
      </w:pPr>
      <w:rPr>
        <w:vertAlign w:val="baseline"/>
      </w:rPr>
    </w:lvl>
    <w:lvl w:ilvl="3">
      <w:numFmt w:val="bullet"/>
      <w:lvlText w:val="•"/>
      <w:lvlJc w:val="left"/>
      <w:pPr>
        <w:ind w:left="1414" w:hanging="457"/>
      </w:pPr>
      <w:rPr>
        <w:vertAlign w:val="baseline"/>
      </w:rPr>
    </w:lvl>
    <w:lvl w:ilvl="4">
      <w:numFmt w:val="bullet"/>
      <w:lvlText w:val="•"/>
      <w:lvlJc w:val="left"/>
      <w:pPr>
        <w:ind w:left="1712" w:hanging="458"/>
      </w:pPr>
      <w:rPr>
        <w:vertAlign w:val="baseline"/>
      </w:rPr>
    </w:lvl>
    <w:lvl w:ilvl="5">
      <w:numFmt w:val="bullet"/>
      <w:lvlText w:val="•"/>
      <w:lvlJc w:val="left"/>
      <w:pPr>
        <w:ind w:left="2010" w:hanging="458"/>
      </w:pPr>
      <w:rPr>
        <w:vertAlign w:val="baseline"/>
      </w:rPr>
    </w:lvl>
    <w:lvl w:ilvl="6">
      <w:numFmt w:val="bullet"/>
      <w:lvlText w:val="•"/>
      <w:lvlJc w:val="left"/>
      <w:pPr>
        <w:ind w:left="2308" w:hanging="458"/>
      </w:pPr>
      <w:rPr>
        <w:vertAlign w:val="baseline"/>
      </w:rPr>
    </w:lvl>
    <w:lvl w:ilvl="7">
      <w:numFmt w:val="bullet"/>
      <w:lvlText w:val="•"/>
      <w:lvlJc w:val="left"/>
      <w:pPr>
        <w:ind w:left="2606" w:hanging="458"/>
      </w:pPr>
      <w:rPr>
        <w:vertAlign w:val="baseline"/>
      </w:rPr>
    </w:lvl>
    <w:lvl w:ilvl="8">
      <w:numFmt w:val="bullet"/>
      <w:lvlText w:val="•"/>
      <w:lvlJc w:val="left"/>
      <w:pPr>
        <w:ind w:left="2904" w:hanging="458"/>
      </w:pPr>
      <w:rPr>
        <w:vertAlign w:val="baseline"/>
      </w:rPr>
    </w:lvl>
  </w:abstractNum>
  <w:abstractNum w:abstractNumId="3" w15:restartNumberingAfterBreak="0">
    <w:nsid w:val="4A3F0A83"/>
    <w:multiLevelType w:val="multilevel"/>
    <w:tmpl w:val="DF3485F2"/>
    <w:lvl w:ilvl="0">
      <w:start w:val="3"/>
      <w:numFmt w:val="decimal"/>
      <w:lvlText w:val="%1"/>
      <w:lvlJc w:val="left"/>
      <w:pPr>
        <w:ind w:left="512" w:hanging="397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12" w:hanging="397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116" w:hanging="398"/>
      </w:pPr>
      <w:rPr>
        <w:vertAlign w:val="baseline"/>
      </w:rPr>
    </w:lvl>
    <w:lvl w:ilvl="3">
      <w:numFmt w:val="bullet"/>
      <w:lvlText w:val="•"/>
      <w:lvlJc w:val="left"/>
      <w:pPr>
        <w:ind w:left="1414" w:hanging="397"/>
      </w:pPr>
      <w:rPr>
        <w:vertAlign w:val="baseline"/>
      </w:rPr>
    </w:lvl>
    <w:lvl w:ilvl="4">
      <w:numFmt w:val="bullet"/>
      <w:lvlText w:val="•"/>
      <w:lvlJc w:val="left"/>
      <w:pPr>
        <w:ind w:left="1712" w:hanging="398"/>
      </w:pPr>
      <w:rPr>
        <w:vertAlign w:val="baseline"/>
      </w:rPr>
    </w:lvl>
    <w:lvl w:ilvl="5">
      <w:numFmt w:val="bullet"/>
      <w:lvlText w:val="•"/>
      <w:lvlJc w:val="left"/>
      <w:pPr>
        <w:ind w:left="2010" w:hanging="398"/>
      </w:pPr>
      <w:rPr>
        <w:vertAlign w:val="baseline"/>
      </w:rPr>
    </w:lvl>
    <w:lvl w:ilvl="6">
      <w:numFmt w:val="bullet"/>
      <w:lvlText w:val="•"/>
      <w:lvlJc w:val="left"/>
      <w:pPr>
        <w:ind w:left="2308" w:hanging="398"/>
      </w:pPr>
      <w:rPr>
        <w:vertAlign w:val="baseline"/>
      </w:rPr>
    </w:lvl>
    <w:lvl w:ilvl="7">
      <w:numFmt w:val="bullet"/>
      <w:lvlText w:val="•"/>
      <w:lvlJc w:val="left"/>
      <w:pPr>
        <w:ind w:left="2606" w:hanging="398"/>
      </w:pPr>
      <w:rPr>
        <w:vertAlign w:val="baseline"/>
      </w:rPr>
    </w:lvl>
    <w:lvl w:ilvl="8">
      <w:numFmt w:val="bullet"/>
      <w:lvlText w:val="•"/>
      <w:lvlJc w:val="left"/>
      <w:pPr>
        <w:ind w:left="2904" w:hanging="398"/>
      </w:pPr>
      <w:rPr>
        <w:vertAlign w:val="baseline"/>
      </w:rPr>
    </w:lvl>
  </w:abstractNum>
  <w:abstractNum w:abstractNumId="4" w15:restartNumberingAfterBreak="0">
    <w:nsid w:val="7A531F32"/>
    <w:multiLevelType w:val="multilevel"/>
    <w:tmpl w:val="E3C0C346"/>
    <w:lvl w:ilvl="0">
      <w:start w:val="5"/>
      <w:numFmt w:val="decimal"/>
      <w:lvlText w:val="%1"/>
      <w:lvlJc w:val="left"/>
      <w:pPr>
        <w:ind w:left="454" w:hanging="426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54" w:hanging="42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068" w:hanging="426"/>
      </w:pPr>
      <w:rPr>
        <w:vertAlign w:val="baseline"/>
      </w:rPr>
    </w:lvl>
    <w:lvl w:ilvl="3">
      <w:numFmt w:val="bullet"/>
      <w:lvlText w:val="•"/>
      <w:lvlJc w:val="left"/>
      <w:pPr>
        <w:ind w:left="1372" w:hanging="426"/>
      </w:pPr>
      <w:rPr>
        <w:vertAlign w:val="baseline"/>
      </w:rPr>
    </w:lvl>
    <w:lvl w:ilvl="4">
      <w:numFmt w:val="bullet"/>
      <w:lvlText w:val="•"/>
      <w:lvlJc w:val="left"/>
      <w:pPr>
        <w:ind w:left="1676" w:hanging="426"/>
      </w:pPr>
      <w:rPr>
        <w:vertAlign w:val="baseline"/>
      </w:rPr>
    </w:lvl>
    <w:lvl w:ilvl="5">
      <w:numFmt w:val="bullet"/>
      <w:lvlText w:val="•"/>
      <w:lvlJc w:val="left"/>
      <w:pPr>
        <w:ind w:left="1980" w:hanging="426"/>
      </w:pPr>
      <w:rPr>
        <w:vertAlign w:val="baseline"/>
      </w:rPr>
    </w:lvl>
    <w:lvl w:ilvl="6">
      <w:numFmt w:val="bullet"/>
      <w:lvlText w:val="•"/>
      <w:lvlJc w:val="left"/>
      <w:pPr>
        <w:ind w:left="2284" w:hanging="426"/>
      </w:pPr>
      <w:rPr>
        <w:vertAlign w:val="baseline"/>
      </w:rPr>
    </w:lvl>
    <w:lvl w:ilvl="7">
      <w:numFmt w:val="bullet"/>
      <w:lvlText w:val="•"/>
      <w:lvlJc w:val="left"/>
      <w:pPr>
        <w:ind w:left="2588" w:hanging="426"/>
      </w:pPr>
      <w:rPr>
        <w:vertAlign w:val="baseline"/>
      </w:rPr>
    </w:lvl>
    <w:lvl w:ilvl="8">
      <w:numFmt w:val="bullet"/>
      <w:lvlText w:val="•"/>
      <w:lvlJc w:val="left"/>
      <w:pPr>
        <w:ind w:left="2892" w:hanging="426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9A"/>
    <w:rsid w:val="004378CC"/>
    <w:rsid w:val="00830E48"/>
    <w:rsid w:val="0098579A"/>
    <w:rsid w:val="00AB6CE1"/>
    <w:rsid w:val="00B73464"/>
    <w:rsid w:val="00BF2437"/>
    <w:rsid w:val="00C704AE"/>
    <w:rsid w:val="00D8593A"/>
    <w:rsid w:val="00DF1776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2AD3A-5567-4BFB-AE17-015DFF2B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o-RO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579A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  <w:lang w:eastAsia="en-US"/>
    </w:rPr>
  </w:style>
  <w:style w:type="paragraph" w:styleId="Heading1">
    <w:name w:val="heading 1"/>
    <w:basedOn w:val="Normal1"/>
    <w:next w:val="Normal1"/>
    <w:rsid w:val="0098579A"/>
    <w:pPr>
      <w:widowControl w:val="0"/>
      <w:pBdr>
        <w:top w:val="nil"/>
        <w:left w:val="nil"/>
        <w:bottom w:val="nil"/>
        <w:right w:val="nil"/>
        <w:between w:val="nil"/>
      </w:pBdr>
      <w:spacing w:before="1"/>
      <w:ind w:left="28" w:right="2601" w:hanging="2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1"/>
    <w:next w:val="Normal1"/>
    <w:rsid w:val="009857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857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857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857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8579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8579A"/>
  </w:style>
  <w:style w:type="table" w:customStyle="1" w:styleId="TableNormal1">
    <w:name w:val="Table Normal1"/>
    <w:rsid w:val="009857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rsid w:val="0098579A"/>
    <w:pPr>
      <w:ind w:left="113" w:right="115" w:hanging="4"/>
      <w:jc w:val="center"/>
    </w:pPr>
    <w:rPr>
      <w:b/>
      <w:bCs/>
      <w:sz w:val="28"/>
      <w:szCs w:val="28"/>
    </w:rPr>
  </w:style>
  <w:style w:type="table" w:customStyle="1" w:styleId="TableNormal2">
    <w:name w:val="Table Normal2"/>
    <w:next w:val="TableNormal1"/>
    <w:qFormat/>
    <w:rsid w:val="0098579A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rsid w:val="0098579A"/>
    <w:rPr>
      <w:sz w:val="24"/>
      <w:szCs w:val="24"/>
    </w:rPr>
  </w:style>
  <w:style w:type="paragraph" w:customStyle="1" w:styleId="Heading11">
    <w:name w:val="Heading 11"/>
    <w:basedOn w:val="Normal"/>
    <w:next w:val="Heading1"/>
    <w:rsid w:val="0098579A"/>
    <w:pPr>
      <w:spacing w:before="1"/>
      <w:ind w:left="28" w:right="260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rsid w:val="0098579A"/>
    <w:pPr>
      <w:spacing w:before="5"/>
      <w:ind w:left="853" w:right="134" w:hanging="360"/>
    </w:pPr>
  </w:style>
  <w:style w:type="paragraph" w:customStyle="1" w:styleId="TableParagraph">
    <w:name w:val="Table Paragraph"/>
    <w:basedOn w:val="Normal"/>
    <w:rsid w:val="0098579A"/>
  </w:style>
  <w:style w:type="paragraph" w:styleId="Header">
    <w:name w:val="header"/>
    <w:basedOn w:val="Normal"/>
    <w:qFormat/>
    <w:rsid w:val="0098579A"/>
    <w:rPr>
      <w:sz w:val="20"/>
      <w:szCs w:val="20"/>
    </w:rPr>
  </w:style>
  <w:style w:type="character" w:customStyle="1" w:styleId="a">
    <w:name w:val="Верхний колонтитул Знак"/>
    <w:rsid w:val="0098579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ro-RO"/>
    </w:rPr>
  </w:style>
  <w:style w:type="paragraph" w:styleId="Footer">
    <w:name w:val="footer"/>
    <w:basedOn w:val="Normal"/>
    <w:qFormat/>
    <w:rsid w:val="0098579A"/>
    <w:rPr>
      <w:sz w:val="20"/>
      <w:szCs w:val="20"/>
    </w:rPr>
  </w:style>
  <w:style w:type="character" w:customStyle="1" w:styleId="a0">
    <w:name w:val="Нижний колонтитул Знак"/>
    <w:rsid w:val="0098579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ro-RO"/>
    </w:rPr>
  </w:style>
  <w:style w:type="paragraph" w:customStyle="1" w:styleId="Listparagraf1">
    <w:name w:val="Listă paragraf1"/>
    <w:basedOn w:val="Normal"/>
    <w:rsid w:val="0098579A"/>
    <w:pPr>
      <w:widowControl/>
      <w:autoSpaceDE/>
      <w:autoSpaceDN/>
      <w:spacing w:after="160" w:line="259" w:lineRule="auto"/>
      <w:ind w:left="720"/>
    </w:pPr>
    <w:rPr>
      <w:rFonts w:ascii="Calibri" w:eastAsia="Calibri" w:hAnsi="Calibri"/>
      <w:lang w:val="ru-RU"/>
    </w:rPr>
  </w:style>
  <w:style w:type="paragraph" w:customStyle="1" w:styleId="ListParagraph11ListParagraph1ListParagraph112">
    <w:name w:val="List Paragraph1;Абзац списка1;List Paragraph 1;List Paragraph11;Абзац списка2"/>
    <w:basedOn w:val="Normal"/>
    <w:rsid w:val="0098579A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sz w:val="20"/>
      <w:szCs w:val="20"/>
      <w:lang w:eastAsia="ru-RU"/>
    </w:rPr>
  </w:style>
  <w:style w:type="paragraph" w:customStyle="1" w:styleId="ListParagraph2">
    <w:name w:val="List Paragraph2"/>
    <w:basedOn w:val="Normal"/>
    <w:rsid w:val="0098579A"/>
    <w:pPr>
      <w:widowControl/>
      <w:autoSpaceDE/>
      <w:autoSpaceDN/>
      <w:spacing w:after="160" w:line="259" w:lineRule="auto"/>
      <w:ind w:left="720"/>
    </w:pPr>
    <w:rPr>
      <w:rFonts w:ascii="Calibri" w:eastAsia="Calibri" w:hAnsi="Calibri"/>
      <w:color w:val="000000"/>
      <w:lang w:val="en-US"/>
    </w:rPr>
  </w:style>
  <w:style w:type="character" w:customStyle="1" w:styleId="ListParagraph1ListParagraph1">
    <w:name w:val="Абзац списка Знак;List Paragraph 1 Знак;List Paragraph1 Знак"/>
    <w:rsid w:val="0098579A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table" w:customStyle="1" w:styleId="TableNormal10">
    <w:name w:val="Table Normal1"/>
    <w:qFormat/>
    <w:rsid w:val="0098579A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qFormat/>
    <w:rsid w:val="0098579A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rsid w:val="0098579A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rsid w:val="0098579A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98579A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Основной текст Знак"/>
    <w:basedOn w:val="DefaultParagraphFont"/>
    <w:rsid w:val="0098579A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en-US"/>
    </w:rPr>
  </w:style>
  <w:style w:type="paragraph" w:customStyle="1" w:styleId="Normal2">
    <w:name w:val="Normal2"/>
    <w:rsid w:val="0098579A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en-US"/>
    </w:rPr>
  </w:style>
  <w:style w:type="paragraph" w:styleId="Subtitle">
    <w:name w:val="Subtitle"/>
    <w:basedOn w:val="Normal1"/>
    <w:next w:val="Normal1"/>
    <w:rsid w:val="009857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2">
    <w:basedOn w:val="TableNormal2"/>
    <w:rsid w:val="0098579A"/>
    <w:tblPr>
      <w:tblStyleRowBandSize w:val="1"/>
      <w:tblStyleColBandSize w:val="1"/>
    </w:tblPr>
  </w:style>
  <w:style w:type="table" w:customStyle="1" w:styleId="a3">
    <w:basedOn w:val="TableNormal2"/>
    <w:rsid w:val="0098579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98579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+pwTiGuBhTz3OBiG7nOUvBGTrg==">CgMxLjA4AHIhMU5uUjVGaWJRUGxYRG1jYmpiSWlOXzl2bzNyX01WampR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Olaru</dc:creator>
  <cp:lastModifiedBy>Angela Prisacaru</cp:lastModifiedBy>
  <cp:revision>5</cp:revision>
  <dcterms:created xsi:type="dcterms:W3CDTF">2024-01-25T05:32:00Z</dcterms:created>
  <dcterms:modified xsi:type="dcterms:W3CDTF">2024-04-23T14:57:00Z</dcterms:modified>
</cp:coreProperties>
</file>