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MINISTERUL EDUCAȚIEI ȘI CERCETĂRII AL REPUBLICII MOLDOVA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Discutat la Ședința Comisiei Metodice 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APROBAT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</w:t>
      </w: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0269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Șeful Comisiei metodice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PROIECT DIDACTIC DE LUNGĂ DURATĂ</w:t>
      </w: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LA DISCIPLINA ȘCOLARĂ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DEZVOLTARE PERSONALĂ</w:t>
      </w: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(elaborat de Grupul de lucru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 ordinului MEC nr.1544/2023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 baza curriculumului la disciplină, aprobat prin ordinul MEC nr.1124 din 20 iulie 2018)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Clasa a XI - a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Anul de studii:_________________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Instituția de învățământ _____________________________________ Localitatea  ______________________________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6F4" w:rsidRDefault="00CF7DA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Numele, prenumele cadrului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didactic 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Grad didactic ____________________________</w:t>
      </w:r>
    </w:p>
    <w:p w:rsidR="00F236F4" w:rsidRDefault="00F236F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017" w:rsidRDefault="00175017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5017" w:rsidRDefault="00175017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6F4" w:rsidRPr="00BE27F6" w:rsidRDefault="00CF7DA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ADMINISTRAREA DISCIPLINEI</w:t>
      </w:r>
    </w:p>
    <w:tbl>
      <w:tblPr>
        <w:tblStyle w:val="a2"/>
        <w:tblW w:w="13763" w:type="dxa"/>
        <w:jc w:val="center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Look w:val="0000" w:firstRow="0" w:lastRow="0" w:firstColumn="0" w:lastColumn="0" w:noHBand="0" w:noVBand="0"/>
      </w:tblPr>
      <w:tblGrid>
        <w:gridCol w:w="7614"/>
        <w:gridCol w:w="1275"/>
        <w:gridCol w:w="4874"/>
      </w:tblGrid>
      <w:tr w:rsidR="00F236F4" w:rsidRPr="00BE27F6">
        <w:trPr>
          <w:cantSplit/>
          <w:trHeight w:val="277"/>
          <w:jc w:val="center"/>
        </w:trPr>
        <w:tc>
          <w:tcPr>
            <w:tcW w:w="7614" w:type="dxa"/>
            <w:vMerge w:val="restart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00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învățare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Clasa</w:t>
            </w:r>
          </w:p>
        </w:tc>
        <w:tc>
          <w:tcPr>
            <w:tcW w:w="487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57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conținut la discreția profesorului (din ghidul profesorului)</w:t>
            </w:r>
          </w:p>
        </w:tc>
      </w:tr>
      <w:tr w:rsidR="00F236F4" w:rsidRPr="00BE27F6">
        <w:trPr>
          <w:cantSplit/>
          <w:trHeight w:val="274"/>
          <w:jc w:val="center"/>
        </w:trPr>
        <w:tc>
          <w:tcPr>
            <w:tcW w:w="7614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277"/>
          <w:jc w:val="center"/>
        </w:trPr>
        <w:tc>
          <w:tcPr>
            <w:tcW w:w="7614" w:type="dxa"/>
          </w:tcPr>
          <w:p w:rsidR="00F236F4" w:rsidRPr="00BE27F6" w:rsidRDefault="0014619E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7DA4"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 inițială. Lecție de consolidare a cunoștințelor..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277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Identitatea personală și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relaționarea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armonioasă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274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Asigurarea calității vieții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  <w:tr w:rsidR="00F236F4" w:rsidRPr="00BE27F6">
        <w:trPr>
          <w:trHeight w:val="277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Modul de viață sănătos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50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Proiectarea carierei profesionale și dezvoltarea spiritului antreprenorial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50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Securitatea personală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50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Evaluare sumativă (finală).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50"/>
          <w:jc w:val="center"/>
        </w:trPr>
        <w:tc>
          <w:tcPr>
            <w:tcW w:w="761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27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32 ore</w:t>
            </w:r>
          </w:p>
        </w:tc>
        <w:tc>
          <w:tcPr>
            <w:tcW w:w="487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 oră</w:t>
            </w:r>
          </w:p>
        </w:tc>
      </w:tr>
    </w:tbl>
    <w:p w:rsidR="00BE27F6" w:rsidRDefault="00BE27F6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236F4" w:rsidRPr="00BE27F6" w:rsidRDefault="00CF7DA4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Manualul recomandat:</w:t>
      </w:r>
    </w:p>
    <w:tbl>
      <w:tblPr>
        <w:tblStyle w:val="a3"/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6776"/>
        <w:gridCol w:w="1985"/>
        <w:gridCol w:w="2835"/>
        <w:gridCol w:w="1417"/>
      </w:tblGrid>
      <w:tr w:rsidR="00F236F4" w:rsidRPr="00BE27F6" w:rsidTr="00BE27F6">
        <w:tc>
          <w:tcPr>
            <w:tcW w:w="1588" w:type="dxa"/>
            <w:shd w:val="clear" w:color="auto" w:fill="EEECE1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Clasa </w:t>
            </w:r>
          </w:p>
        </w:tc>
        <w:tc>
          <w:tcPr>
            <w:tcW w:w="6776" w:type="dxa"/>
            <w:shd w:val="clear" w:color="auto" w:fill="EEECE1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Titlul </w:t>
            </w:r>
          </w:p>
        </w:tc>
        <w:tc>
          <w:tcPr>
            <w:tcW w:w="1985" w:type="dxa"/>
            <w:shd w:val="clear" w:color="auto" w:fill="EEECE1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Autori </w:t>
            </w:r>
          </w:p>
        </w:tc>
        <w:tc>
          <w:tcPr>
            <w:tcW w:w="2835" w:type="dxa"/>
            <w:shd w:val="clear" w:color="auto" w:fill="EEECE1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Editura </w:t>
            </w:r>
          </w:p>
        </w:tc>
        <w:tc>
          <w:tcPr>
            <w:tcW w:w="1417" w:type="dxa"/>
            <w:shd w:val="clear" w:color="auto" w:fill="EEECE1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Anul ediției </w:t>
            </w:r>
          </w:p>
        </w:tc>
      </w:tr>
      <w:tr w:rsidR="00F236F4" w:rsidRPr="00BE27F6" w:rsidTr="00BE27F6">
        <w:tc>
          <w:tcPr>
            <w:tcW w:w="1588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Clasa a XI- a</w:t>
            </w:r>
          </w:p>
        </w:tc>
        <w:tc>
          <w:tcPr>
            <w:tcW w:w="6776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Dezvoltare personală. Ghidul profesorului. Clasa a XI-a, aprobat prin ordinul Ministerului Educației, Culturii și Cercetării nr.463 din 26 februarie 20</w:t>
            </w:r>
          </w:p>
        </w:tc>
        <w:tc>
          <w:tcPr>
            <w:tcW w:w="198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 Keller</w:t>
            </w:r>
            <w:r w:rsidR="0014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Corinna</w:t>
            </w:r>
            <w:proofErr w:type="spellEnd"/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Borer</w:t>
            </w:r>
            <w:proofErr w:type="spellEnd"/>
            <w:r w:rsidR="0014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Peter </w:t>
            </w:r>
            <w:proofErr w:type="spellStart"/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Holzwarth</w:t>
            </w:r>
            <w:proofErr w:type="spellEnd"/>
          </w:p>
        </w:tc>
        <w:tc>
          <w:tcPr>
            <w:tcW w:w="28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Universitatea Pedagogică din Zurich (Zurich University of Teacher Education)</w:t>
            </w:r>
          </w:p>
        </w:tc>
        <w:tc>
          <w:tcPr>
            <w:tcW w:w="141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2020</w:t>
            </w:r>
          </w:p>
        </w:tc>
      </w:tr>
    </w:tbl>
    <w:p w:rsidR="00F236F4" w:rsidRPr="00BE27F6" w:rsidRDefault="00CF7DA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791"/>
        </w:tabs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Notă: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Profesorul este în drept să selecteze </w:t>
      </w:r>
      <w:r w:rsidRPr="00BE27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unitățile de conținut 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din Curriculumul la disciplina Dezvoltarea personală</w:t>
      </w:r>
      <w:r w:rsidRPr="00BE27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 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>din G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hidul profesorului, cu condiția păstrării numărului de ore conform recomandărilor curriculare (6 ore per modul), o lecție de evaluare inițială și o lecție de evaluare finală, în rest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>, se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selectează și 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adaugă orele </w:t>
      </w:r>
      <w:r w:rsidRPr="00BE27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 discreția profesorului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modulului în corespundere cu numărul de săptămâni conform </w:t>
      </w:r>
      <w:r w:rsidRPr="00BE27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Planului-cadru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Unitățile de conținut cu asterix (*) sunt preluate din 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hidul profesorului pentru clasa respectivă. Aceste ore pot fi modificate la discreția profesorului, în raport cu necesitățile colectivului de elevi, dar 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va asigura atingerea unităților de competență pe care trebuie să le dețină elevii la această unitate de învățare.</w:t>
      </w:r>
    </w:p>
    <w:p w:rsidR="00F236F4" w:rsidRPr="00BE27F6" w:rsidRDefault="00F236F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791"/>
        </w:tabs>
        <w:ind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6F4" w:rsidRPr="00BE27F6" w:rsidRDefault="00CF7DA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791"/>
        </w:tabs>
        <w:ind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 specifice disciplinei:</w:t>
      </w:r>
    </w:p>
    <w:p w:rsidR="00F236F4" w:rsidRPr="00BE27F6" w:rsidRDefault="00CF7DA4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791"/>
        </w:tabs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Exprimarea identității personale în relaționarea constructivă cu familia și ceilalți, prin explorarea sinelui și 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resurselor sociale;</w:t>
      </w:r>
    </w:p>
    <w:p w:rsidR="00F236F4" w:rsidRPr="00BE27F6" w:rsidRDefault="00CF7DA4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13"/>
          <w:tab w:val="left" w:pos="914"/>
          <w:tab w:val="left" w:pos="8791"/>
        </w:tabs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2. Demonstrarea autonomiei personale în realizarea unui comportament orientat spre valorificarea optimă a resurselor personale și a mediului de viață;</w:t>
      </w:r>
    </w:p>
    <w:p w:rsidR="00F236F4" w:rsidRPr="00BE27F6" w:rsidRDefault="00CF7DA4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13"/>
          <w:tab w:val="left" w:pos="914"/>
          <w:tab w:val="left" w:pos="8791"/>
        </w:tabs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3. Manifestarea comportamentului centrat pe modul de viață sănătos, prin implicare activă în menținerea sănătății proprii;</w:t>
      </w:r>
    </w:p>
    <w:p w:rsidR="00F236F4" w:rsidRPr="00BE27F6" w:rsidRDefault="0014619E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13"/>
          <w:tab w:val="left" w:pos="914"/>
          <w:tab w:val="left" w:pos="8791"/>
        </w:tabs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Proiectarea carierei</w:t>
      </w:r>
      <w:r w:rsidR="00CF7DA4"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 determinarea traseului școlar și/sau profesional, din perspectiva valorificării potențialului personal și oportunităților pieței muncii;</w:t>
      </w:r>
    </w:p>
    <w:p w:rsidR="00F236F4" w:rsidRPr="00BE27F6" w:rsidRDefault="00CF7DA4" w:rsidP="00BE27F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13"/>
          <w:tab w:val="left" w:pos="914"/>
          <w:tab w:val="left" w:pos="8791"/>
        </w:tabs>
        <w:ind w:right="-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>5. A</w:t>
      </w:r>
      <w:r w:rsidR="0014619E">
        <w:rPr>
          <w:rFonts w:ascii="Times New Roman" w:eastAsia="Times New Roman" w:hAnsi="Times New Roman" w:cs="Times New Roman"/>
          <w:color w:val="000000"/>
          <w:sz w:val="24"/>
          <w:szCs w:val="24"/>
        </w:rPr>
        <w:t>doptarea comportamentului activ</w:t>
      </w:r>
      <w:r w:rsidRPr="00BE2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privind securitatea personală, centrat pe responsabilitate pentru starea de bine a sa și a celor din jur.</w:t>
      </w:r>
    </w:p>
    <w:p w:rsidR="00F236F4" w:rsidRPr="00BE27F6" w:rsidRDefault="00F236F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79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6F4" w:rsidRDefault="00CF7DA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27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PROIECTAREA DIDACTICĂ A UNITĂȚILOR DE ÎNVĂȚARE / UNITĂȚILOR DE CONȚINUT</w:t>
      </w:r>
    </w:p>
    <w:p w:rsidR="00BE27F6" w:rsidRPr="00BE27F6" w:rsidRDefault="00BE27F6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4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134"/>
        <w:gridCol w:w="567"/>
        <w:gridCol w:w="851"/>
        <w:gridCol w:w="75"/>
        <w:gridCol w:w="4035"/>
        <w:gridCol w:w="75"/>
        <w:gridCol w:w="1201"/>
      </w:tblGrid>
      <w:tr w:rsidR="00F236F4" w:rsidRPr="00BE27F6" w:rsidTr="00BE27F6">
        <w:trPr>
          <w:trHeight w:val="554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competențe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95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conținut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Sarcina conform ghidului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 ore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110" w:type="dxa"/>
            <w:gridSpan w:val="2"/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35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Activități de învățare și produse școlare realizate</w:t>
            </w:r>
          </w:p>
        </w:tc>
        <w:tc>
          <w:tcPr>
            <w:tcW w:w="1276" w:type="dxa"/>
            <w:gridSpan w:val="2"/>
            <w:shd w:val="clear" w:color="auto" w:fill="DDD9C3" w:themeFill="background2" w:themeFillShade="E6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F236F4" w:rsidRPr="00BE27F6" w:rsidTr="00BE27F6">
        <w:trPr>
          <w:trHeight w:val="515"/>
        </w:trPr>
        <w:tc>
          <w:tcPr>
            <w:tcW w:w="2268" w:type="dxa"/>
            <w:tcBorders>
              <w:top w:val="single" w:sz="4" w:space="0" w:color="000000"/>
            </w:tcBorders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Autoevaluarea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competentelor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adiționate în anul precedent de studiu</w:t>
            </w:r>
            <w:r w:rsidR="0014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1" w:right="142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Lecție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autoevaluare și sinteză.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Completarea Tabelului de performanță la modul.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52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52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Recapitularea cunoștințelor. Planificarea produselor cu elevii. Determinarea împreună cu elevii a criteriilor de succes pentru produse.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trHeight w:val="50"/>
        </w:trPr>
        <w:tc>
          <w:tcPr>
            <w:tcW w:w="1460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57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Dimensiunea 1. Unitatea de învățare</w:t>
            </w:r>
            <w:r w:rsidR="00146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Identitatea personală și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relaționarea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armonioasă ( 6 ore)</w:t>
            </w:r>
          </w:p>
        </w:tc>
      </w:tr>
      <w:tr w:rsidR="00F236F4" w:rsidRPr="00BE27F6" w:rsidTr="00BE27F6">
        <w:trPr>
          <w:cantSplit/>
          <w:trHeight w:val="830"/>
        </w:trPr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236F4" w:rsidRPr="00BE27F6" w:rsidRDefault="00CF7DA4" w:rsidP="00BE27F6">
            <w:pPr>
              <w:pStyle w:val="Normal1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modelelor de relaționare pozitivă și comunicare în cadrul relațiilor de gen, </w:t>
            </w:r>
            <w:r w:rsidR="0014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 asumarea responsabilității.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Aplicarea strategiilor de comunicare publică, în </w:t>
            </w:r>
            <w:r w:rsidR="00146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contextul școlar și extrașcolar.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Prevenirea violenței în relații, în baza semnelor specifice comportamentului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abuziv în perioada curtării.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1065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Libertatea personalității</w:t>
            </w:r>
            <w:r w:rsidR="00146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între necesități, dorințe și expectații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Caracterul social al libertății personale. Resursele interne și libertatea. Satisfacerea dorințelor: limite raționale.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 pag.16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Exerciții pentru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stabilirea criteriilor de auto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valuare a calităților personale.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Discuții dirijate: importanța libertății de exprimare a opiniei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pentru respectul de sine.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Exerciții de grup, discuții, dezbateri privind semnificația conceptului „libertate personală” în rapor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cu responsabilități și limite.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70"/>
        </w:trPr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1065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Comunicarea publică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Persuasiunea și prezentarea de sine. Tehnici de prezentare. Depășirea dificultăților.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 pag.22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ind w:right="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Exerciții de 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dezvoltare a discursului public.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70"/>
        </w:trPr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1065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*Spune stop!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 pag.20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ind w:right="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Ghidul profesorului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885"/>
        </w:trPr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1065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Formarea și menținerea relațiilor din perspectiva de gen.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Relația dintre un tânăr și o tânără. Mod de exprimare. Avantaje ale comunicării afective. Responsabilități.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ind w:right="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Discuții și analizare a modelelor de relații dintre fete și băieți: comportamente, roluri, așteptări, în baza exemplel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reale sau preluate din filme.</w:t>
            </w:r>
            <w:r w:rsidRPr="00BE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Jocuri de rol, prin elaborare de scenarii de comunicare dintre El și Ea, cu manifestarea respectului reciproc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701"/>
        </w:trPr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1065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Semnele manipulării și abuzului în relație.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Manipulare. Forme ale manipulării. Abuzul. Forme ale abuzului. Consecințe. Strategii de prevenire.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 pag. 18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ind w:right="74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Comentarea unor articole din mass-media, a unor cazuri concrete referitoare la manipularea și comportamen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 abuziv în perioada curtării.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Jocuri de rol privind înțelegerea, toleranța și respectul pentru diferite puncte de vedere.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67"/>
        </w:trPr>
        <w:tc>
          <w:tcPr>
            <w:tcW w:w="2268" w:type="dxa"/>
            <w:vMerge/>
            <w:tcBorders>
              <w:top w:val="single" w:sz="4" w:space="0" w:color="000000"/>
            </w:tcBorders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  <w:tab w:val="left" w:pos="1065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Lecție de sinteză și autoevaluare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Produs</w:t>
            </w:r>
            <w:r w:rsidR="002D5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Proiect de grup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Club de discuții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despre relațiile interpersonale, de gen, în baza vizionării filmelor.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ind w:left="67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Club de discuții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despre relațiile interpersonale, de gen, în baza vizionării filmelor.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Completare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tabel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ului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performanță.</w:t>
            </w:r>
          </w:p>
        </w:tc>
        <w:tc>
          <w:tcPr>
            <w:tcW w:w="127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trHeight w:val="67"/>
        </w:trPr>
        <w:tc>
          <w:tcPr>
            <w:tcW w:w="14601" w:type="dxa"/>
            <w:gridSpan w:val="9"/>
            <w:shd w:val="clear" w:color="auto" w:fill="auto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576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Dimensiunea 2. Unitatea de învățare</w:t>
            </w:r>
            <w:r w:rsidR="002D5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Asigurarea calității vieții (6 ore) +1</w:t>
            </w:r>
          </w:p>
        </w:tc>
      </w:tr>
      <w:tr w:rsidR="00F236F4" w:rsidRPr="00BE27F6" w:rsidTr="00BE27F6">
        <w:trPr>
          <w:cantSplit/>
          <w:trHeight w:val="1103"/>
        </w:trPr>
        <w:tc>
          <w:tcPr>
            <w:tcW w:w="2268" w:type="dxa"/>
            <w:vMerge w:val="restart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Analiza modalităților de comunicare, ad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ecvate situației și contextului.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720"/>
              </w:tabs>
              <w:ind w:left="149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720"/>
              </w:tabs>
              <w:ind w:left="149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Stabilirea relațiilor dintre convingeri, valori, priorită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ți și corectitudinea deciziilor.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720"/>
              </w:tabs>
              <w:ind w:left="149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9"/>
                <w:tab w:val="left" w:pos="720"/>
              </w:tabs>
              <w:ind w:left="149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Asumarea unui comportament axat pe valori, priorități și decizii personale, adecvat vârstei.</w:t>
            </w: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Valorile, prioritățile și calitatea vieții.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Prioritate versus valoare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Prioritățile și modul de viață. Parametrii vieții de calitate.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86"/>
                <w:tab w:val="left" w:pos="336"/>
                <w:tab w:val="left" w:pos="636"/>
              </w:tabs>
              <w:ind w:left="2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 de caz despre încălcarea legilor și a normelor morale;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1" w:firstLine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1104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Etica comunicării în diverse contexte.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 și diversitatea contextelor de comunicare: în familie, în clasă, cu prietenii, la locul de muncă, în activități de voluntariat etc.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 pag.26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36"/>
                <w:tab w:val="left" w:pos="636"/>
              </w:tabs>
              <w:ind w:left="2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Autoanaliză: stilul 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propriu de comunicare eficientă.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Realizarea de jocuri de rol, în care să folosească măști sau marionete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1655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2D50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Sentimentul maturității și asumarea comportamentului</w:t>
            </w:r>
            <w:r w:rsidR="002D5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Vârsta adolescenței și maturitatea psihofiziologică și socială.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Diversitatea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rolurilor și asumarea lor. Drepturi și obligații.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S6 pag.28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36"/>
                <w:tab w:val="left" w:pos="636"/>
              </w:tabs>
              <w:ind w:left="2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Organizarea unor autoanalize ale comportamentului din perspectiva manifestărilo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maturității și a imaturității.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760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Manipularea și consumul.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Viața la început de mileniu și consumul. Consumul de bunuri. Consumul de servicii. Promovarea bunurilor și serviciilor. Consumul rațional. Calitatea consumului.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 pag.30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S8 pag. 32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36"/>
                <w:tab w:val="left" w:pos="636"/>
              </w:tabs>
              <w:ind w:left="2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 unei expoziții, prin colectarea din timp a diferitor imag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 despre manipulare și consum.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827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Convingerile personale și responsabilitatea deciziei.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Sistemul de convingeri. Modalitatea manifestării. Calitatea deciziilor și perspectiva vieții.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36"/>
                <w:tab w:val="left" w:pos="636"/>
              </w:tabs>
              <w:ind w:left="2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Discuți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dirijate cu invitați în clasă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 subiecte ce urmăresc analiza reacțiilor și comportamentelor față de eti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chete în cadrul unei comunicări.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Organizarea simulărilor în vederea luării deciziilor.</w:t>
            </w: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827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left="142"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Lecție de sinteză și autoevaluare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Produs: </w:t>
            </w:r>
            <w:r w:rsidR="002D5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Galeria/ Expoziția posterelor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despre utilizarea  </w:t>
            </w:r>
            <w:r w:rsidRPr="00BE2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inteligentă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 resurselor (valorilor, </w:t>
            </w:r>
            <w:r w:rsidRPr="00BE27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convingerilor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potențialului intelectualului etc.) pentru crearea unui context favorabil/constructiv de comunicare, relaționare și activitate.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0"/>
                <w:tab w:val="left" w:pos="336"/>
                <w:tab w:val="left" w:pos="636"/>
              </w:tabs>
              <w:ind w:left="242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Prezentare produs.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Completare</w:t>
            </w:r>
            <w:r w:rsidR="002D50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tabelului de performanță.</w:t>
            </w: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trHeight w:val="67"/>
        </w:trPr>
        <w:tc>
          <w:tcPr>
            <w:tcW w:w="14601" w:type="dxa"/>
            <w:gridSpan w:val="9"/>
            <w:shd w:val="clear" w:color="auto" w:fill="auto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57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Dimensiunea 3. Unitatea de învățare</w:t>
            </w:r>
            <w:r w:rsidR="002D5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Modul de viață sănătos (6 ore)</w:t>
            </w:r>
          </w:p>
        </w:tc>
      </w:tr>
      <w:tr w:rsidR="00F236F4" w:rsidRPr="00BE27F6" w:rsidTr="00BE27F6">
        <w:trPr>
          <w:cantSplit/>
          <w:trHeight w:val="677"/>
        </w:trPr>
        <w:tc>
          <w:tcPr>
            <w:tcW w:w="2268" w:type="dxa"/>
            <w:vMerge w:val="restart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right="139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Selectarea și prezentarea argumentată a informației privind factorii de risc major care afectează sănătatea și securitatea umană.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Determinarea raportului dintre diferențele indicatorilor de sănătate în funcție de gen.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142"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3.3. Elaborarea de strategii personale pentru menținerea unui mod de viață sănătos, cu accent pe starea de bine.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"/>
                <w:tab w:val="left" w:pos="156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Strategii de menținere a sănătății.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Influența particularităților de gen asupra dezvoltării. Particularități fiziologice. Stereotipuri sociale privind menținerea sănătății. Factori de risc.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S9 pag. 36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Discuții despre indicatori de sănătate în funcție de 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sex.</w:t>
            </w: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85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Mediul social și sănătatea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Macro-mediul social ca factor de influență asupra sănătății. Micro-mediul social: fami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lia, școala, cercul de prieteni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 factor 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influență asupra sănătății.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Calitatea mediului – calitatea sănătății.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S10 pag.38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Activități de studiere a surselor tematice din mass-media pentru identificarea factorilor cu risc major asupra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sănătății și securității umane.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827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Dependența de droguri și substanțe nocive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Modalități de promovare a diverselor substanțe nocive. Prevenirea consumului. Consecințe personale și sociale.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S12 pag 42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 unor postere, referate privind impactul utiliză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rii drogurilor asupra sănătății.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Vizionarea unor filmulețe la tema: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Pericolele consumu</w:t>
            </w:r>
            <w:r w:rsidR="002D5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lui de droguri asupra sănătății.</w:t>
            </w: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306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2D50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Modele de succes în viață</w:t>
            </w:r>
            <w:r w:rsidR="002D50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adevăr și mit în promovarea unui mod de viață sănătos.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Copierea/ preluarea stilului de viață al unor modele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impact, consecințe. Caracteristicile modului de viață sănătos.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S11 pag.40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Masă rotundă: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Modelul meu de succes – exemplu pentru mine.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459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Apa, focul, aerul, pământul și sănătatea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Utilizarea și atitudinea omului față de resursele de bază; 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Masă rotundă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Apa, focul, aerul, pământul și sănătatea omului. Planificarea activității ecologice comunitare.</w:t>
            </w: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BE27F6">
        <w:trPr>
          <w:cantSplit/>
          <w:trHeight w:val="85"/>
        </w:trPr>
        <w:tc>
          <w:tcPr>
            <w:tcW w:w="226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Lecție de sinteză și autoevaluare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"/>
              </w:tabs>
              <w:ind w:left="145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Produs: Activitate ecologică comunitară</w:t>
            </w:r>
            <w:r w:rsidR="002D50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Autoevaluarea în baza fișei cu criteriile de succes și completarea tabelului de </w:t>
            </w:r>
            <w:proofErr w:type="spellStart"/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performanţă</w:t>
            </w:r>
            <w:proofErr w:type="spellEnd"/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167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5"/>
        <w:tblW w:w="153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4111"/>
        <w:gridCol w:w="1134"/>
        <w:gridCol w:w="567"/>
        <w:gridCol w:w="992"/>
        <w:gridCol w:w="5103"/>
        <w:gridCol w:w="1134"/>
      </w:tblGrid>
      <w:tr w:rsidR="00F236F4" w:rsidRPr="00BE27F6" w:rsidTr="00CF7DA4">
        <w:trPr>
          <w:trHeight w:val="50"/>
        </w:trPr>
        <w:tc>
          <w:tcPr>
            <w:tcW w:w="15319" w:type="dxa"/>
            <w:gridSpan w:val="7"/>
            <w:shd w:val="clear" w:color="auto" w:fill="auto"/>
          </w:tcPr>
          <w:p w:rsidR="00F236F4" w:rsidRPr="00BE27F6" w:rsidRDefault="002D5021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85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CF7DA4"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imensiunea 4. Unitatea de învățare: </w:t>
            </w:r>
            <w:r w:rsidR="00CF7DA4"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Proiectarea carierei profesionale și dezvoltarea spiritului antreprenorial (6 ore)</w:t>
            </w:r>
          </w:p>
        </w:tc>
      </w:tr>
      <w:tr w:rsidR="00F236F4" w:rsidRPr="00BE27F6">
        <w:trPr>
          <w:cantSplit/>
          <w:trHeight w:val="85"/>
        </w:trPr>
        <w:tc>
          <w:tcPr>
            <w:tcW w:w="2278" w:type="dxa"/>
            <w:vMerge w:val="restart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4.1. Stabilirea relației dintre tendințele de dezvoltare a pieței muncii la nivel global și impactul acestora asupra pieței muncii din RM, din perspectiva alegerii viitoarei 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profesii.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4.2. Utilizarea tehnicilor și metodelor de comunicare/ interacțiune cu angajatorii în procesul de căutare a unui loc de munc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ă.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4.3. Argumentarea deciziei în planificarea carierei din perspectiva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compatibilității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aptitudinilor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capacităților, valorilor și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așteptărilor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sale cu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cerințele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 ale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pieței muncii.</w:t>
            </w: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Tendințele de dezvoltare a pieței muncii.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Piața muncii – factori cheie de influență. Competențe-cheie și profesii.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S13 pag.46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matricei personale pentru luarea deciziei referitor la cari</w:t>
            </w:r>
            <w:r w:rsidR="002D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eră și completarea ei periodică.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962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În căutarea unui loc de muncă.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Loc sigur de muncă. Oferte sigure, oferte dubioase. Căutarea unui loc de muncă: angajatorul și angajatul. 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Identificarea și argumentarea valorilor importante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alegerea viitoarei profesii.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Studierea ofertelor de angajare publicate în ziare și clasificarea lor din perspectiva siguranței (nivelul de risc).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1022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Comunicarea cu angajatorii.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Comunicarea cu angajatorii în procesul de căutare a unui loc de muncă. Modalități de aplicare a strategiilor de interacțiune cu potențialii angajatori. Scrisoare de intenție.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S14 pag.48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Identificarea riscurilor selectării unui loc de muncă 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 categoria celor periculoase.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Vizitarea firmelor și desfășurarea discuțiilor cu persoanele care se ocupă de angajarea personalului despre cerințele p/u candidați. 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828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Motivația și rolul valorilor personale în alegerea viitoarei profesii.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Motivația pentru activitatea profesională. Zece valori de bază după Schwartz. Propriile valori-cheie.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S16 pag.52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Realizarea individuală și/sau în grupuri a studiului sectorului pieței muncii în care se încadrează profesia la care aspiră; Elaborarea  scrisorii de intenție în b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aza anunțurilor pentru angajare.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Realizarea testelor de Inteligență Emoțională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406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Profilul antreprenorului de succes.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Profilul antreprenorului din perspectiva valorică. Potențialul personal și necesitățile comunității prin prisma deciziilor de a iniția activități antreprenoriale. Motivația pentru antreprenoriat. 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S15 pag.50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Discuții cu antreprenorii din comunitate cu privire la motivele care i-au determinat să înceapă activitatea antreprenorială; Explorarea activităților din diferite domenii profesionale.  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943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Lecție de sinteză și autoevaluare.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Cariera profesională.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Matricea de luare a deciziilor de carieră.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Compatibilitatea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aptitudinilor,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capacităților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și așteptărilor personale cu cerințele angajatorilor și cele specifice ocupației.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Prezentare produs.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Completare</w:t>
            </w:r>
            <w:r w:rsidR="008850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tabelului de performanță.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 w:rsidTr="00CF7DA4">
        <w:trPr>
          <w:trHeight w:val="287"/>
        </w:trPr>
        <w:tc>
          <w:tcPr>
            <w:tcW w:w="15319" w:type="dxa"/>
            <w:gridSpan w:val="7"/>
            <w:shd w:val="clear" w:color="auto" w:fill="auto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85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Dimensiunea 5. Unitatea de învățare</w:t>
            </w:r>
            <w:r w:rsidR="00885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Securitatea personală (6 ore)</w:t>
            </w:r>
          </w:p>
        </w:tc>
      </w:tr>
      <w:tr w:rsidR="00F236F4" w:rsidRPr="00BE27F6">
        <w:trPr>
          <w:cantSplit/>
          <w:trHeight w:val="138"/>
        </w:trPr>
        <w:tc>
          <w:tcPr>
            <w:tcW w:w="2278" w:type="dxa"/>
            <w:vMerge w:val="restart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5.1. Argumentarea necesității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respectării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regulilor și exercitării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drepturilor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traficul r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utier, comunicarea digitală etc.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Aprecierea situațiilor de risc major personal și global, în baza informațiilor privind situația ecologică, traficul de ființe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umane etc</w:t>
            </w:r>
            <w:r w:rsidR="008850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  <w:tab w:val="left" w:pos="142"/>
              </w:tabs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5.3. Elaborarea unor strategii de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comportament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pentru diverse situații de risc.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Problemele ecologice și siguranța personală.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Probleme/ calamități ecologice și riscuri pentru persoană. Perceperea situațiilor de risc ecologic. Comportament adecvat securității personale. Responsabilități și implicare socială.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Dialog cu reprezentanții instituțiilor abilitate de asigurarea securității personale și colecti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 în situații de risc ecologic.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right="216"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827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Cutremurele de pământ.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Fazele cutremurului de pământ.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Prevenirea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reducerea eventualelor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consecințe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Pregătirea pentru cutremurele de pământ. 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right="2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Simularea diferitor situații de risc, cu întreprinderea măsurilor de formare a unui comportament adecvat, responsabil (la nivel psiho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logic, organizatoric, operativ).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1105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Traficul rutier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Participanți la traficul rutier. Reguli de prevenire a accidentelor.</w:t>
            </w:r>
            <w:r w:rsidRPr="00BE2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S19 pag.60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Exerciții de descriere, analiză și comentariu ale situațiilor reale în traficul rutier; Simularea cu ajutorul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planșelor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sau virtual a situați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ilor de risc în traficul rutier.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1105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Contravențiile.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Contravenții rutiere și sancțiuni. Pieton, pasager, conducător al mijloacelor de transport; drepturi și obligații. Contravenții din domeniul securității contra incendiilor și sancțiuni. Responsabilitatea cetățenilor.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S20 pag.62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16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Studierea Codului Contravențional al Republicii Moldova.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70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Traficul de ființe umane – pericol pentru securitatea personală.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Esența fenomenului. Factori implicați. Modalități de racolare. Consecințe. Acțiuni de prevenire/protecție. Persoane și instituții la care poți apela în țară și peste hotare.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S18 pag.58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Discutarea, comentarea impactului campaniei naționale și internaționale de prevenire a traficului de ființe uma</w:t>
            </w:r>
            <w:r w:rsidR="0088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 asupra securității personale.</w:t>
            </w:r>
          </w:p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67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right="142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Lecţie de sinteză şi autoevaluare. 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Drepturi digitale și responsabilități. 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Informarea și comunicarea mijlocită. Posibilități și avantaje pentru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dezvoltarea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personală. Etica și </w:t>
            </w:r>
            <w:r w:rsidR="00885020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responsabilitate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comportamentului virtual.</w:t>
            </w:r>
          </w:p>
        </w:tc>
        <w:tc>
          <w:tcPr>
            <w:tcW w:w="1134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S17 pag.56</w:t>
            </w: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Exerciții de identificare a soluțiilor proprii pentru consolidarea securității, prin asigurarea drepturilor și responsabilităților digitale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Produs</w:t>
            </w:r>
            <w:r w:rsidR="008850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Prezentare în format electronic pentru elevii din instituție: </w:t>
            </w:r>
            <w:r w:rsidRPr="00BE27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Securitatea personală</w:t>
            </w:r>
            <w:r w:rsidR="008850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cantSplit/>
          <w:trHeight w:val="597"/>
        </w:trPr>
        <w:tc>
          <w:tcPr>
            <w:tcW w:w="2278" w:type="dxa"/>
            <w:vMerge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Lecție de evaluare finală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Completarea tabelului de </w:t>
            </w:r>
            <w:r w:rsidRPr="00BE27F6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performanță</w:t>
            </w:r>
            <w:r w:rsidRPr="00BE2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Discutarea planurilor de viitor.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6F4" w:rsidRPr="00BE27F6">
        <w:trPr>
          <w:trHeight w:val="67"/>
        </w:trPr>
        <w:tc>
          <w:tcPr>
            <w:tcW w:w="2278" w:type="dxa"/>
            <w:tcBorders>
              <w:bottom w:val="single" w:sz="4" w:space="0" w:color="000000"/>
            </w:tcBorders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23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236F4" w:rsidRPr="00BE27F6" w:rsidRDefault="00CF7DA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7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6F4" w:rsidRPr="00BE27F6" w:rsidRDefault="00F236F4" w:rsidP="00BE27F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36F4" w:rsidRPr="00BE27F6" w:rsidRDefault="00F236F4" w:rsidP="00BE27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79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36F4" w:rsidRPr="00BE27F6" w:rsidSect="00026951">
      <w:pgSz w:w="16840" w:h="11910" w:orient="landscape"/>
      <w:pgMar w:top="1134" w:right="1134" w:bottom="1134" w:left="1134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377DD"/>
    <w:multiLevelType w:val="multilevel"/>
    <w:tmpl w:val="AB3240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36" w:hanging="1799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F4"/>
    <w:rsid w:val="00026951"/>
    <w:rsid w:val="0014619E"/>
    <w:rsid w:val="00175017"/>
    <w:rsid w:val="002D5021"/>
    <w:rsid w:val="00885020"/>
    <w:rsid w:val="00BE27F6"/>
    <w:rsid w:val="00CA56FB"/>
    <w:rsid w:val="00CF7DA4"/>
    <w:rsid w:val="00F236F4"/>
    <w:rsid w:val="00F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C7AFF-DB1F-41B1-844A-242F40EA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o-RO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36F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Heading1">
    <w:name w:val="heading 1"/>
    <w:basedOn w:val="Normal1"/>
    <w:next w:val="Normal1"/>
    <w:rsid w:val="00F236F4"/>
    <w:pPr>
      <w:widowControl w:val="0"/>
      <w:pBdr>
        <w:top w:val="nil"/>
        <w:left w:val="nil"/>
        <w:bottom w:val="nil"/>
        <w:right w:val="nil"/>
        <w:between w:val="nil"/>
      </w:pBdr>
      <w:spacing w:before="1"/>
      <w:ind w:left="28" w:right="2601" w:hanging="2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1"/>
    <w:next w:val="Normal1"/>
    <w:rsid w:val="00F236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236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236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236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236F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236F4"/>
  </w:style>
  <w:style w:type="table" w:customStyle="1" w:styleId="TableNormal1">
    <w:name w:val="Table Normal1"/>
    <w:rsid w:val="00F236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rsid w:val="00F236F4"/>
    <w:pPr>
      <w:ind w:left="113" w:right="115" w:hanging="4"/>
      <w:jc w:val="center"/>
    </w:pPr>
    <w:rPr>
      <w:b/>
      <w:bCs/>
      <w:sz w:val="28"/>
      <w:szCs w:val="28"/>
    </w:rPr>
  </w:style>
  <w:style w:type="table" w:customStyle="1" w:styleId="TableNormal2">
    <w:name w:val="Table Normal2"/>
    <w:next w:val="TableNormal1"/>
    <w:qFormat/>
    <w:rsid w:val="00F236F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rsid w:val="00F236F4"/>
    <w:rPr>
      <w:sz w:val="24"/>
      <w:szCs w:val="24"/>
    </w:rPr>
  </w:style>
  <w:style w:type="paragraph" w:customStyle="1" w:styleId="Heading11">
    <w:name w:val="Heading 11"/>
    <w:basedOn w:val="Normal"/>
    <w:next w:val="Heading1"/>
    <w:rsid w:val="00F236F4"/>
    <w:pPr>
      <w:spacing w:before="1"/>
      <w:ind w:left="28" w:right="2601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rsid w:val="00F236F4"/>
    <w:pPr>
      <w:spacing w:before="5"/>
      <w:ind w:left="853" w:right="134" w:hanging="360"/>
    </w:pPr>
  </w:style>
  <w:style w:type="paragraph" w:customStyle="1" w:styleId="TableParagraph">
    <w:name w:val="Table Paragraph"/>
    <w:basedOn w:val="Normal"/>
    <w:rsid w:val="00F236F4"/>
  </w:style>
  <w:style w:type="paragraph" w:styleId="Header">
    <w:name w:val="header"/>
    <w:basedOn w:val="Normal"/>
    <w:qFormat/>
    <w:rsid w:val="00F236F4"/>
    <w:rPr>
      <w:sz w:val="20"/>
      <w:szCs w:val="20"/>
    </w:rPr>
  </w:style>
  <w:style w:type="character" w:customStyle="1" w:styleId="a">
    <w:name w:val="Верхний колонтитул Знак"/>
    <w:rsid w:val="00F236F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ro-RO"/>
    </w:rPr>
  </w:style>
  <w:style w:type="paragraph" w:styleId="Footer">
    <w:name w:val="footer"/>
    <w:basedOn w:val="Normal"/>
    <w:qFormat/>
    <w:rsid w:val="00F236F4"/>
    <w:rPr>
      <w:sz w:val="20"/>
      <w:szCs w:val="20"/>
    </w:rPr>
  </w:style>
  <w:style w:type="character" w:customStyle="1" w:styleId="a0">
    <w:name w:val="Нижний колонтитул Знак"/>
    <w:rsid w:val="00F236F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ro-RO"/>
    </w:rPr>
  </w:style>
  <w:style w:type="paragraph" w:customStyle="1" w:styleId="Listparagraf1">
    <w:name w:val="Listă paragraf1"/>
    <w:basedOn w:val="Normal"/>
    <w:rsid w:val="00F236F4"/>
    <w:pPr>
      <w:widowControl/>
      <w:autoSpaceDE/>
      <w:autoSpaceDN/>
      <w:spacing w:after="160" w:line="259" w:lineRule="auto"/>
      <w:ind w:left="720"/>
    </w:pPr>
    <w:rPr>
      <w:rFonts w:ascii="Calibri" w:eastAsia="Calibri" w:hAnsi="Calibri"/>
      <w:lang w:val="ru-RU"/>
    </w:rPr>
  </w:style>
  <w:style w:type="paragraph" w:customStyle="1" w:styleId="ListParagraph11ListParagraph1ListParagraph112">
    <w:name w:val="List Paragraph1;Абзац списка1;List Paragraph 1;List Paragraph11;Абзац списка2"/>
    <w:basedOn w:val="Normal"/>
    <w:rsid w:val="00F236F4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sz w:val="20"/>
      <w:szCs w:val="20"/>
      <w:lang w:eastAsia="ru-RU"/>
    </w:rPr>
  </w:style>
  <w:style w:type="paragraph" w:customStyle="1" w:styleId="ListParagraph2">
    <w:name w:val="List Paragraph2"/>
    <w:basedOn w:val="Normal"/>
    <w:rsid w:val="00F236F4"/>
    <w:pPr>
      <w:widowControl/>
      <w:autoSpaceDE/>
      <w:autoSpaceDN/>
      <w:spacing w:after="160" w:line="259" w:lineRule="auto"/>
      <w:ind w:left="720"/>
    </w:pPr>
    <w:rPr>
      <w:rFonts w:ascii="Calibri" w:eastAsia="Calibri" w:hAnsi="Calibri"/>
      <w:color w:val="000000"/>
      <w:lang w:val="en-US"/>
    </w:rPr>
  </w:style>
  <w:style w:type="character" w:customStyle="1" w:styleId="ListParagraph1ListParagraph1">
    <w:name w:val="Абзац списка Знак;List Paragraph 1 Знак;List Paragraph1 Знак"/>
    <w:rsid w:val="00F236F4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1">
    <w:name w:val="Основной текст Знак"/>
    <w:basedOn w:val="DefaultParagraphFont"/>
    <w:rsid w:val="00F236F4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 w:eastAsia="en-US"/>
    </w:rPr>
  </w:style>
  <w:style w:type="paragraph" w:customStyle="1" w:styleId="Normal2">
    <w:name w:val="Normal2"/>
    <w:rsid w:val="00F236F4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  <w:lang w:val="en-US"/>
    </w:rPr>
  </w:style>
  <w:style w:type="table" w:styleId="TableGrid">
    <w:name w:val="Table Grid"/>
    <w:basedOn w:val="TableNormal"/>
    <w:rsid w:val="00F236F4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1"/>
    <w:next w:val="Normal1"/>
    <w:rsid w:val="00F236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2"/>
    <w:rsid w:val="00F236F4"/>
    <w:tblPr>
      <w:tblStyleRowBandSize w:val="1"/>
      <w:tblStyleColBandSize w:val="1"/>
    </w:tblPr>
  </w:style>
  <w:style w:type="table" w:customStyle="1" w:styleId="a3">
    <w:basedOn w:val="TableNormal2"/>
    <w:rsid w:val="00F236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F236F4"/>
    <w:tblPr>
      <w:tblStyleRowBandSize w:val="1"/>
      <w:tblStyleColBandSize w:val="1"/>
    </w:tblPr>
  </w:style>
  <w:style w:type="table" w:customStyle="1" w:styleId="a5">
    <w:basedOn w:val="TableNormal2"/>
    <w:rsid w:val="00F236F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0bvQrmbsWu+dgTAoWXnUKuQR4A==">CgMxLjA4AHIhMXlpRUxJYU1hOEo4a2JXN2hhSkVSa1RDWUZDVHlrZzVU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Olaru</dc:creator>
  <cp:lastModifiedBy>Angela Prisacaru</cp:lastModifiedBy>
  <cp:revision>5</cp:revision>
  <dcterms:created xsi:type="dcterms:W3CDTF">2024-01-25T05:32:00Z</dcterms:created>
  <dcterms:modified xsi:type="dcterms:W3CDTF">2024-04-23T14:58:00Z</dcterms:modified>
</cp:coreProperties>
</file>