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A2" w:rsidRPr="007D4467" w:rsidRDefault="00B16EDA" w:rsidP="007D44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proofErr w:type="spellStart"/>
      <w:r w:rsidRPr="007D4467">
        <w:rPr>
          <w:rFonts w:ascii="Times New Roman" w:hAnsi="Times New Roman" w:cs="Times New Roman"/>
          <w:b/>
          <w:sz w:val="28"/>
          <w:szCs w:val="24"/>
        </w:rPr>
        <w:t>Raport</w:t>
      </w:r>
      <w:proofErr w:type="spellEnd"/>
      <w:r w:rsidRPr="007D44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D4467">
        <w:rPr>
          <w:rFonts w:ascii="Times New Roman" w:hAnsi="Times New Roman" w:cs="Times New Roman"/>
          <w:b/>
          <w:sz w:val="28"/>
          <w:szCs w:val="24"/>
          <w:lang w:val="ro-RO"/>
        </w:rPr>
        <w:t>privind desfăşurarea Atelierului de lucru</w:t>
      </w:r>
    </w:p>
    <w:p w:rsidR="007D4467" w:rsidRDefault="00DF1D3F" w:rsidP="007D44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7D4467">
        <w:rPr>
          <w:rFonts w:ascii="Times New Roman" w:hAnsi="Times New Roman" w:cs="Times New Roman"/>
          <w:b/>
          <w:sz w:val="28"/>
          <w:szCs w:val="24"/>
          <w:lang w:val="ro-RO"/>
        </w:rPr>
        <w:t>p</w:t>
      </w:r>
      <w:r w:rsidR="00B16EDA" w:rsidRPr="007D4467">
        <w:rPr>
          <w:rFonts w:ascii="Times New Roman" w:hAnsi="Times New Roman" w:cs="Times New Roman"/>
          <w:b/>
          <w:sz w:val="28"/>
          <w:szCs w:val="24"/>
          <w:lang w:val="ro-RO"/>
        </w:rPr>
        <w:t xml:space="preserve">entru membrii Consiliului Naţional al Elevilor </w:t>
      </w:r>
    </w:p>
    <w:p w:rsidR="00DF1D3F" w:rsidRPr="007D4467" w:rsidRDefault="00B16EDA" w:rsidP="007D44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7D4467">
        <w:rPr>
          <w:rFonts w:ascii="Times New Roman" w:hAnsi="Times New Roman" w:cs="Times New Roman"/>
          <w:b/>
          <w:sz w:val="28"/>
          <w:szCs w:val="24"/>
          <w:lang w:val="ro-RO"/>
        </w:rPr>
        <w:t xml:space="preserve">de pe </w:t>
      </w:r>
      <w:r w:rsidR="007C3D83" w:rsidRPr="007D4467">
        <w:rPr>
          <w:rFonts w:ascii="Times New Roman" w:hAnsi="Times New Roman" w:cs="Times New Roman"/>
          <w:b/>
          <w:sz w:val="28"/>
          <w:szCs w:val="24"/>
          <w:lang w:val="ro-RO"/>
        </w:rPr>
        <w:t>lângă</w:t>
      </w:r>
      <w:r w:rsidRPr="007D4467">
        <w:rPr>
          <w:rFonts w:ascii="Times New Roman" w:hAnsi="Times New Roman" w:cs="Times New Roman"/>
          <w:b/>
          <w:sz w:val="28"/>
          <w:szCs w:val="24"/>
          <w:lang w:val="ro-RO"/>
        </w:rPr>
        <w:t xml:space="preserve"> Ministerul Educaţiei</w:t>
      </w:r>
      <w:r w:rsidR="00DF1D3F" w:rsidRPr="007D4467">
        <w:rPr>
          <w:rFonts w:ascii="Times New Roman" w:hAnsi="Times New Roman" w:cs="Times New Roman"/>
          <w:b/>
          <w:sz w:val="28"/>
          <w:szCs w:val="24"/>
          <w:lang w:val="ro-RO"/>
        </w:rPr>
        <w:t>,</w:t>
      </w:r>
    </w:p>
    <w:p w:rsidR="00B16EDA" w:rsidRPr="007D4467" w:rsidRDefault="00DF1D3F" w:rsidP="007D44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7D4467">
        <w:rPr>
          <w:rFonts w:ascii="Times New Roman" w:hAnsi="Times New Roman" w:cs="Times New Roman"/>
          <w:b/>
          <w:sz w:val="28"/>
          <w:szCs w:val="24"/>
          <w:lang w:val="ro-RO"/>
        </w:rPr>
        <w:t>anul de studii 2014-2015</w:t>
      </w:r>
    </w:p>
    <w:p w:rsidR="00B16EDA" w:rsidRPr="007D4467" w:rsidRDefault="00940ABF" w:rsidP="007D44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ro-RO"/>
        </w:rPr>
      </w:pPr>
      <w:r w:rsidRPr="007D4467">
        <w:rPr>
          <w:rFonts w:ascii="Times New Roman" w:hAnsi="Times New Roman" w:cs="Times New Roman"/>
          <w:b/>
          <w:i/>
          <w:sz w:val="28"/>
          <w:szCs w:val="24"/>
          <w:lang w:val="ro-RO"/>
        </w:rPr>
        <w:t>8-10 mai</w:t>
      </w:r>
      <w:r w:rsidR="009B313E" w:rsidRPr="007D4467">
        <w:rPr>
          <w:rFonts w:ascii="Times New Roman" w:hAnsi="Times New Roman" w:cs="Times New Roman"/>
          <w:i/>
          <w:sz w:val="28"/>
          <w:szCs w:val="24"/>
          <w:lang w:val="ro-RO"/>
        </w:rPr>
        <w:t xml:space="preserve"> </w:t>
      </w:r>
      <w:r w:rsidR="00B16EDA" w:rsidRPr="007D4467">
        <w:rPr>
          <w:rFonts w:ascii="Times New Roman" w:hAnsi="Times New Roman" w:cs="Times New Roman"/>
          <w:b/>
          <w:i/>
          <w:sz w:val="28"/>
          <w:szCs w:val="24"/>
          <w:lang w:val="ro-RO"/>
        </w:rPr>
        <w:t>201</w:t>
      </w:r>
      <w:r w:rsidR="005802F3" w:rsidRPr="007D4467">
        <w:rPr>
          <w:rFonts w:ascii="Times New Roman" w:hAnsi="Times New Roman" w:cs="Times New Roman"/>
          <w:b/>
          <w:i/>
          <w:sz w:val="28"/>
          <w:szCs w:val="24"/>
          <w:lang w:val="ro-RO"/>
        </w:rPr>
        <w:t>5</w:t>
      </w:r>
      <w:r w:rsidR="00B16EDA" w:rsidRPr="007D4467">
        <w:rPr>
          <w:rFonts w:ascii="Times New Roman" w:hAnsi="Times New Roman" w:cs="Times New Roman"/>
          <w:b/>
          <w:i/>
          <w:sz w:val="28"/>
          <w:szCs w:val="24"/>
          <w:lang w:val="ro-RO"/>
        </w:rPr>
        <w:t>, mun. Chişinău</w:t>
      </w:r>
    </w:p>
    <w:p w:rsidR="00B16EDA" w:rsidRPr="00C96C24" w:rsidRDefault="00B16EDA" w:rsidP="007D4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>I.CONTEXT</w:t>
      </w:r>
    </w:p>
    <w:p w:rsidR="00B16EDA" w:rsidRPr="00C96C24" w:rsidRDefault="00B16EDA" w:rsidP="004075F2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Consiliul Naţional al Elevilor de pe lîngă Ministerul Educaţiei (CNE) a fost constituit prin Ordinul Ministerului Educaţ</w:t>
      </w:r>
      <w:r w:rsidR="00DF1D3F" w:rsidRPr="00C96C24">
        <w:rPr>
          <w:rFonts w:ascii="Times New Roman" w:hAnsi="Times New Roman" w:cs="Times New Roman"/>
          <w:sz w:val="24"/>
          <w:szCs w:val="24"/>
          <w:lang w:val="ro-RO"/>
        </w:rPr>
        <w:t>iei nr.136 din 26 martie 2013 „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macanismelor de participare a </w:t>
      </w:r>
      <w:r w:rsidR="00221040" w:rsidRPr="00C96C24">
        <w:rPr>
          <w:rFonts w:ascii="Times New Roman" w:hAnsi="Times New Roman" w:cs="Times New Roman"/>
          <w:sz w:val="24"/>
          <w:szCs w:val="24"/>
          <w:lang w:val="ro-RO"/>
        </w:rPr>
        <w:t>elevilor la procesul decizional’’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40ABF" w:rsidRPr="00C96C24" w:rsidRDefault="00B16EDA" w:rsidP="004075F2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În perioada </w:t>
      </w:r>
      <w:r w:rsidR="00940ABF" w:rsidRPr="00C96C24">
        <w:rPr>
          <w:rFonts w:ascii="Times New Roman" w:hAnsi="Times New Roman" w:cs="Times New Roman"/>
          <w:sz w:val="24"/>
          <w:szCs w:val="24"/>
          <w:lang w:val="ro-RO"/>
        </w:rPr>
        <w:t>8-10 mai</w:t>
      </w:r>
      <w:r w:rsidR="009B313E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B270A2" w:rsidRPr="00C96C24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a avut loc </w:t>
      </w:r>
      <w:r w:rsidR="009B313E" w:rsidRPr="00C96C24">
        <w:rPr>
          <w:rFonts w:ascii="Times New Roman" w:hAnsi="Times New Roman" w:cs="Times New Roman"/>
          <w:sz w:val="24"/>
          <w:szCs w:val="24"/>
          <w:lang w:val="ro-RO"/>
        </w:rPr>
        <w:t>cel de</w:t>
      </w:r>
      <w:r w:rsidR="007C3D83" w:rsidRPr="00C96C2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B313E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940ABF" w:rsidRPr="00C96C24">
        <w:rPr>
          <w:rFonts w:ascii="Times New Roman" w:hAnsi="Times New Roman" w:cs="Times New Roman"/>
          <w:sz w:val="24"/>
          <w:szCs w:val="24"/>
          <w:lang w:val="ro-RO"/>
        </w:rPr>
        <w:t>patrulea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atelier de lucru, în cadrul căruia membrii acestuia </w:t>
      </w:r>
      <w:r w:rsidR="009B313E" w:rsidRPr="00C96C24">
        <w:rPr>
          <w:rFonts w:ascii="Times New Roman" w:hAnsi="Times New Roman" w:cs="Times New Roman"/>
          <w:sz w:val="24"/>
          <w:szCs w:val="24"/>
          <w:lang w:val="ro-RO"/>
        </w:rPr>
        <w:t>au prezentat rapoartele efectuate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, au avut diverse </w:t>
      </w:r>
      <w:r w:rsidR="009B313E" w:rsidRPr="00C96C24">
        <w:rPr>
          <w:rFonts w:ascii="Times New Roman" w:hAnsi="Times New Roman" w:cs="Times New Roman"/>
          <w:sz w:val="24"/>
          <w:szCs w:val="24"/>
          <w:lang w:val="ro-RO"/>
        </w:rPr>
        <w:t>întâlniri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cu specialişti din domeniu 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02F3" w:rsidRPr="00C96C24" w:rsidRDefault="007C65E7" w:rsidP="004075F2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La a</w:t>
      </w:r>
      <w:r w:rsidR="00B16EDA" w:rsidRPr="00C96C24">
        <w:rPr>
          <w:rFonts w:ascii="Times New Roman" w:hAnsi="Times New Roman" w:cs="Times New Roman"/>
          <w:sz w:val="24"/>
          <w:szCs w:val="24"/>
          <w:lang w:val="ro-RO"/>
        </w:rPr>
        <w:t>telierul nr.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0ABF" w:rsidRPr="00C96C24">
        <w:rPr>
          <w:rFonts w:ascii="Times New Roman" w:hAnsi="Times New Roman" w:cs="Times New Roman"/>
          <w:sz w:val="24"/>
          <w:szCs w:val="24"/>
          <w:lang w:val="ro-RO"/>
        </w:rPr>
        <w:t>IV</w:t>
      </w:r>
      <w:r w:rsidR="00B16EDA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din cei 33 de membri au participat doar </w:t>
      </w:r>
      <w:r w:rsidR="007C3D83" w:rsidRPr="00C96C2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16EDA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de elevi. Nu s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16EDA" w:rsidRPr="00C96C24">
        <w:rPr>
          <w:rFonts w:ascii="Times New Roman" w:hAnsi="Times New Roman" w:cs="Times New Roman"/>
          <w:sz w:val="24"/>
          <w:szCs w:val="24"/>
          <w:lang w:val="ro-RO"/>
        </w:rPr>
        <w:t>au p</w:t>
      </w:r>
      <w:r w:rsidR="00EA5C86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rezentat la atelier 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A5C86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elevi : </w:t>
      </w:r>
      <w:r w:rsidR="005802F3" w:rsidRPr="00C96C24">
        <w:rPr>
          <w:rFonts w:ascii="Times New Roman" w:hAnsi="Times New Roman" w:cs="Times New Roman"/>
          <w:i/>
          <w:sz w:val="24"/>
          <w:szCs w:val="24"/>
          <w:lang w:val="ro-RO"/>
        </w:rPr>
        <w:t>Guzun Adrian</w:t>
      </w:r>
      <w:r w:rsidR="005802F3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a refuzat de a fi membru al Consiliului din motiv de sănătate și nu a fost prezent nici la un atelier, </w:t>
      </w:r>
      <w:r w:rsidR="005802F3" w:rsidRPr="00C96C24">
        <w:rPr>
          <w:rFonts w:ascii="Times New Roman" w:hAnsi="Times New Roman" w:cs="Times New Roman"/>
          <w:i/>
          <w:sz w:val="24"/>
          <w:szCs w:val="24"/>
          <w:lang w:val="ro-RO"/>
        </w:rPr>
        <w:t>Rălenu Nicolae</w:t>
      </w:r>
      <w:r w:rsidR="005802F3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nu s-a prezentat din motive necunoscute, la fel ca și în cazul atelierelor precedente, </w:t>
      </w:r>
      <w:r w:rsidR="005802F3" w:rsidRPr="00C96C24">
        <w:rPr>
          <w:rFonts w:ascii="Times New Roman" w:hAnsi="Times New Roman" w:cs="Times New Roman"/>
          <w:i/>
          <w:sz w:val="24"/>
          <w:szCs w:val="24"/>
          <w:lang w:val="ro-RO"/>
        </w:rPr>
        <w:t>Neiculova Anastasia</w:t>
      </w:r>
      <w:r w:rsidR="005802F3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şi-a retras candidature din motive personale după primul atelier, </w:t>
      </w:r>
      <w:r w:rsidR="00D05065" w:rsidRPr="00C96C24">
        <w:rPr>
          <w:rFonts w:ascii="Times New Roman" w:hAnsi="Times New Roman" w:cs="Times New Roman"/>
          <w:i/>
          <w:sz w:val="24"/>
          <w:szCs w:val="24"/>
          <w:lang w:val="ro-RO"/>
        </w:rPr>
        <w:t>Bogdan Călin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nu a fost prezent, deși am primit confirmarea participării din partea organelor local</w:t>
      </w:r>
      <w:r w:rsidR="002D578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D05065" w:rsidRPr="00432DF2">
        <w:rPr>
          <w:rFonts w:ascii="Times New Roman" w:hAnsi="Times New Roman" w:cs="Times New Roman"/>
          <w:i/>
          <w:sz w:val="24"/>
          <w:szCs w:val="24"/>
          <w:lang w:val="ro-RO"/>
        </w:rPr>
        <w:t>Petcoglo</w:t>
      </w:r>
      <w:proofErr w:type="spellEnd"/>
      <w:r w:rsidR="00D05065" w:rsidRPr="00432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Anastasia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2F3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în ultimul moment s-a înbolnăvit. </w:t>
      </w:r>
      <w:proofErr w:type="spellStart"/>
      <w:r w:rsidR="00D05065" w:rsidRPr="00C96C24">
        <w:rPr>
          <w:rFonts w:ascii="Times New Roman" w:hAnsi="Times New Roman" w:cs="Times New Roman"/>
          <w:i/>
          <w:sz w:val="24"/>
          <w:szCs w:val="24"/>
          <w:lang w:val="ro-RO"/>
        </w:rPr>
        <w:t>Staraia</w:t>
      </w:r>
      <w:proofErr w:type="spellEnd"/>
      <w:r w:rsidR="00D05065" w:rsidRPr="00C96C2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Daria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="00D05065" w:rsidRPr="00C96C24">
        <w:rPr>
          <w:rFonts w:ascii="Times New Roman" w:hAnsi="Times New Roman" w:cs="Times New Roman"/>
          <w:i/>
          <w:sz w:val="24"/>
          <w:szCs w:val="24"/>
          <w:lang w:val="ro-RO"/>
        </w:rPr>
        <w:t>Revencu</w:t>
      </w:r>
      <w:proofErr w:type="spellEnd"/>
      <w:r w:rsidR="00D05065" w:rsidRPr="00C96C2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Maria</w:t>
      </w:r>
      <w:r w:rsidR="00D05065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 w:rsidR="00E76E80"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au venit fiind implicate </w:t>
      </w:r>
      <w:r w:rsidR="009F206C">
        <w:rPr>
          <w:rFonts w:ascii="Times New Roman" w:hAnsi="Times New Roman" w:cs="Times New Roman"/>
          <w:sz w:val="24"/>
          <w:szCs w:val="24"/>
          <w:lang w:val="ro-RO"/>
        </w:rPr>
        <w:t>în alte proiecte internaționale (Anexa1).</w:t>
      </w:r>
    </w:p>
    <w:p w:rsidR="00B16EDA" w:rsidRPr="00C96C24" w:rsidRDefault="00B16EDA" w:rsidP="007D4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>II. OBIECTIVE, CONŢINUT, PROCES DE LUCRU</w:t>
      </w:r>
    </w:p>
    <w:p w:rsidR="00760D85" w:rsidRPr="004E141B" w:rsidRDefault="00760D85" w:rsidP="007D4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141B">
        <w:rPr>
          <w:rFonts w:ascii="Times New Roman" w:hAnsi="Times New Roman" w:cs="Times New Roman"/>
          <w:b/>
          <w:sz w:val="24"/>
          <w:szCs w:val="24"/>
          <w:lang w:val="ro-RO"/>
        </w:rPr>
        <w:t>Obiectivele atelierului:</w:t>
      </w:r>
    </w:p>
    <w:p w:rsidR="00E76E80" w:rsidRPr="00C96C24" w:rsidRDefault="00E76E80" w:rsidP="007D4467">
      <w:pPr>
        <w:pStyle w:val="Listparagraf"/>
        <w:numPr>
          <w:ilvl w:val="0"/>
          <w:numId w:val="15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Examinarea feedback-ului oferit de către membrii CNE despre pretestările naționale;</w:t>
      </w:r>
    </w:p>
    <w:p w:rsidR="00E76E80" w:rsidRPr="00C96C24" w:rsidRDefault="00E76E80" w:rsidP="007D4467">
      <w:pPr>
        <w:pStyle w:val="Listparagraf"/>
        <w:numPr>
          <w:ilvl w:val="0"/>
          <w:numId w:val="15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Prezentarea rezultatelor campaniei împotriva violenței în școli;</w:t>
      </w:r>
    </w:p>
    <w:p w:rsidR="00E76E80" w:rsidRPr="00C96C24" w:rsidRDefault="00E76E80" w:rsidP="007D4467">
      <w:pPr>
        <w:pStyle w:val="Listparagraf"/>
        <w:numPr>
          <w:ilvl w:val="0"/>
          <w:numId w:val="15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Consultarea opiniei elevilor  referitor la utilitatea atelierelor și structurii CNE;</w:t>
      </w:r>
    </w:p>
    <w:p w:rsidR="00760D85" w:rsidRPr="00C96C24" w:rsidRDefault="00E76E80" w:rsidP="007D4467">
      <w:pPr>
        <w:pStyle w:val="Listparagraf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Cunoașterea și dezbaterea proiectului de reconceptualizare a învăţământului liceal.</w:t>
      </w:r>
    </w:p>
    <w:p w:rsidR="007C3FE8" w:rsidRPr="00C96C24" w:rsidRDefault="007C3FE8" w:rsidP="007D4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>Conţinutul atelierului s-a axat pe următoarele blocuri de subiecte :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Reconceptualizarea sistemului liceal de învăţămînt;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Platforma experimentală din Liceul Academiei de știință și organizarea acesteia;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Schimb de experiență/bune practici cu membrii Senatului Liceului AȘM;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lastRenderedPageBreak/>
        <w:t>Testele de evaluare națională și sesiunea de pretestare;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Violenţa şi abuzul în şcoală: cum depistăm şi cum acţionăm pentru a ne proteja;</w:t>
      </w:r>
    </w:p>
    <w:p w:rsidR="004B69C4" w:rsidRPr="00C96C24" w:rsidRDefault="004B69C4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Orientarea profesională şi ghidarea în carieră;</w:t>
      </w:r>
    </w:p>
    <w:p w:rsidR="007C3D83" w:rsidRPr="00C96C24" w:rsidRDefault="004B69C4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Oportunităţi de reformare a sistemului educaţional</w:t>
      </w:r>
      <w:r w:rsidR="00E76E80" w:rsidRPr="00C96C2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Strategii interactive de educație, filme documentare și utilitatea lor;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Codul de etică al elevului, necesitatea și forma acestuia;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Codul de etică al profesorului și prevederile acestuia;</w:t>
      </w:r>
    </w:p>
    <w:p w:rsidR="00E76E80" w:rsidRPr="00C96C24" w:rsidRDefault="00E76E80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CNE - o structură reprezentativă şi consultativă a elevilor, care asigură dreptul lor la opinie şi libera exprimare</w:t>
      </w:r>
      <w:r w:rsidR="00C96C24" w:rsidRPr="00C96C2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6C24" w:rsidRPr="00C96C24" w:rsidRDefault="00C96C24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Utilitatea și necesitatea atelierelor de lucru a CNE;</w:t>
      </w:r>
    </w:p>
    <w:p w:rsidR="00C96C24" w:rsidRPr="00C96C24" w:rsidRDefault="00C96C24" w:rsidP="007D4467">
      <w:pPr>
        <w:pStyle w:val="Listparagraf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Asigurarea continuității și funcționalității Consiliului Național al Elevilor de pe </w:t>
      </w:r>
      <w:proofErr w:type="spellStart"/>
      <w:r w:rsidRPr="00C96C24">
        <w:rPr>
          <w:rFonts w:ascii="Times New Roman" w:hAnsi="Times New Roman" w:cs="Times New Roman"/>
          <w:sz w:val="24"/>
          <w:szCs w:val="24"/>
          <w:lang w:val="ro-RO"/>
        </w:rPr>
        <w:t>lîngă</w:t>
      </w:r>
      <w:proofErr w:type="spellEnd"/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Ministerul Educației al Moldovei.</w:t>
      </w:r>
    </w:p>
    <w:p w:rsidR="00E7442B" w:rsidRPr="00C96C24" w:rsidRDefault="00E7442B" w:rsidP="007D4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>Procesul de lucru</w:t>
      </w:r>
    </w:p>
    <w:p w:rsidR="00E7442B" w:rsidRPr="00C96C24" w:rsidRDefault="00E7442B" w:rsidP="007D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sz w:val="24"/>
          <w:szCs w:val="24"/>
          <w:lang w:val="ro-RO"/>
        </w:rPr>
        <w:t>Subiectele din agendă au fost examinate , utiliz</w:t>
      </w:r>
      <w:r w:rsidR="007C65E7" w:rsidRPr="00C96C24">
        <w:rPr>
          <w:rFonts w:ascii="Times New Roman" w:hAnsi="Times New Roman" w:cs="Times New Roman"/>
          <w:sz w:val="24"/>
          <w:szCs w:val="24"/>
          <w:lang w:val="ro-RO"/>
        </w:rPr>
        <w:t>ănd diverse strategii didactice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şi în următoarea consecutivitate :</w:t>
      </w:r>
    </w:p>
    <w:tbl>
      <w:tblPr>
        <w:tblStyle w:val="GrilTabel"/>
        <w:tblW w:w="9468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E7442B" w:rsidRPr="00C96C24" w:rsidTr="009F206C">
        <w:tc>
          <w:tcPr>
            <w:tcW w:w="2898" w:type="dxa"/>
            <w:vAlign w:val="center"/>
          </w:tcPr>
          <w:p w:rsidR="00E7442B" w:rsidRPr="00C96C24" w:rsidRDefault="00E7442B" w:rsidP="007D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Subiect/ temă discutată</w:t>
            </w:r>
          </w:p>
        </w:tc>
        <w:tc>
          <w:tcPr>
            <w:tcW w:w="6570" w:type="dxa"/>
            <w:vAlign w:val="center"/>
          </w:tcPr>
          <w:p w:rsidR="00E7442B" w:rsidRPr="00C96C24" w:rsidRDefault="00E7442B" w:rsidP="007D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de lucru/strategii didactice utilizate</w:t>
            </w:r>
          </w:p>
        </w:tc>
      </w:tr>
      <w:tr w:rsidR="00E7442B" w:rsidRPr="00C96C24" w:rsidTr="009F206C">
        <w:tc>
          <w:tcPr>
            <w:tcW w:w="2898" w:type="dxa"/>
            <w:vAlign w:val="center"/>
          </w:tcPr>
          <w:p w:rsidR="00737043" w:rsidRPr="00C96C24" w:rsidRDefault="00737043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cadrului de lucru.</w:t>
            </w:r>
          </w:p>
          <w:p w:rsidR="006A7D16" w:rsidRPr="00C96C24" w:rsidRDefault="006A7D16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737043" w:rsidRDefault="00515FF8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venit. </w:t>
            </w:r>
            <w:r w:rsidR="00737043"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la feedback-ul oferit de participanţi după e de-al I</w:t>
            </w:r>
            <w:r w:rsidR="002D5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737043"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atelier. Introducerea agendei de lucru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37043" w:rsidRPr="00C96C24" w:rsidRDefault="00737043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Facilitator</w:t>
            </w:r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  Ludmila </w:t>
            </w:r>
            <w:proofErr w:type="spellStart"/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</w:t>
            </w:r>
            <w:proofErr w:type="spellEnd"/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director interimar CRCT ”</w:t>
            </w:r>
            <w:proofErr w:type="spellStart"/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</w:t>
            </w:r>
            <w:proofErr w:type="spellEnd"/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</w:tr>
      <w:tr w:rsidR="00E7442B" w:rsidRPr="00C96C24" w:rsidTr="009F206C">
        <w:trPr>
          <w:trHeight w:val="1996"/>
        </w:trPr>
        <w:tc>
          <w:tcPr>
            <w:tcW w:w="2898" w:type="dxa"/>
            <w:vAlign w:val="center"/>
          </w:tcPr>
          <w:p w:rsidR="00737043" w:rsidRPr="00C96C24" w:rsidRDefault="00B447E9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Cunoașterea și dezbaterea proiectului de reconceptualizare 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învăţământului liceal.</w:t>
            </w:r>
          </w:p>
        </w:tc>
        <w:tc>
          <w:tcPr>
            <w:tcW w:w="6570" w:type="dxa"/>
            <w:vAlign w:val="center"/>
          </w:tcPr>
          <w:p w:rsidR="00515FF8" w:rsidRDefault="007D025A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</w:t>
            </w:r>
            <w:r w:rsidR="00515F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matricei, ce reprezintă politicile publice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Discuții și dezbateri referitor la impactul și riscurile care le aduce </w:t>
            </w:r>
            <w:r w:rsidR="002D578D">
              <w:rPr>
                <w:rFonts w:ascii="Times New Roman" w:hAnsi="Times New Roman"/>
                <w:sz w:val="24"/>
                <w:szCs w:val="24"/>
                <w:lang w:val="ro-RO"/>
              </w:rPr>
              <w:t>reconceptualizarea învăţământului liceal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515F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Problemele abordate fiind: imperfecțiunea liceelor; disproporționalitatea rețelei de licee; lipsa cadrelor didactice calificate; lipsa bazei tehnico-materiale adecvate.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Analiza necesității reconceptualizării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învțămîntului</w:t>
            </w:r>
            <w:proofErr w:type="spellEnd"/>
            <w:r w:rsidR="00515F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gimnazial.</w:t>
            </w:r>
          </w:p>
          <w:p w:rsidR="00515FF8" w:rsidRDefault="00515FF8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sesiunea întrebări/răspunsuri au fost </w:t>
            </w:r>
            <w:r w:rsid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scoase în discuție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următoarele întrebări:</w:t>
            </w:r>
          </w:p>
          <w:p w:rsidR="00515FF8" w:rsidRPr="00515FF8" w:rsidRDefault="00515FF8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5F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reducem numărul de discipline;</w:t>
            </w:r>
          </w:p>
          <w:p w:rsidR="00515FF8" w:rsidRDefault="000359BF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 unor </w:t>
            </w:r>
            <w:r w:rsidR="008F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conexiune (matematica + fizica);</w:t>
            </w:r>
          </w:p>
          <w:p w:rsidR="000359BF" w:rsidRDefault="000359BF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Studiile obligatorii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18 ani;</w:t>
            </w:r>
          </w:p>
          <w:p w:rsidR="000359BF" w:rsidRDefault="000359BF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Orientarea profesională;</w:t>
            </w:r>
          </w:p>
          <w:p w:rsidR="000359BF" w:rsidRDefault="000359BF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Profilul real împărțit în 2: matematica+fizica și biologia+chimia;</w:t>
            </w:r>
          </w:p>
          <w:p w:rsidR="00E7442B" w:rsidRPr="00C96C24" w:rsidRDefault="006A7D16" w:rsidP="008F6B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Expert:</w:t>
            </w:r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Mihai </w:t>
            </w:r>
            <w:proofErr w:type="spellStart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Paiu</w:t>
            </w:r>
            <w:proofErr w:type="spellEnd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dr.conf.univ</w:t>
            </w:r>
            <w:proofErr w:type="spellEnd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USM, Arcadie </w:t>
            </w:r>
            <w:proofErr w:type="spellStart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Barbarosie</w:t>
            </w:r>
            <w:proofErr w:type="spellEnd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director executiv IPP şi Galina </w:t>
            </w:r>
            <w:proofErr w:type="spellStart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Gavrili</w:t>
            </w:r>
            <w:r w:rsidR="008F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</w:t>
            </w:r>
            <w:proofErr w:type="spellEnd"/>
            <w:r w:rsidR="00B447E9" w:rsidRPr="00B447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Institutul de Ştiinţe ale Educaţiei.</w:t>
            </w:r>
          </w:p>
        </w:tc>
      </w:tr>
      <w:tr w:rsidR="00EE6A33" w:rsidRPr="00C96C24" w:rsidTr="009F206C">
        <w:trPr>
          <w:trHeight w:val="1996"/>
        </w:trPr>
        <w:tc>
          <w:tcPr>
            <w:tcW w:w="2898" w:type="dxa"/>
            <w:vAlign w:val="center"/>
          </w:tcPr>
          <w:p w:rsidR="00760D85" w:rsidRPr="00C96C24" w:rsidRDefault="008F6BF8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Analiza rezultatelor monitorizării testelor de evaluare națională în sesiunea de pretestări.</w:t>
            </w:r>
          </w:p>
        </w:tc>
        <w:tc>
          <w:tcPr>
            <w:tcW w:w="6570" w:type="dxa"/>
            <w:vAlign w:val="center"/>
          </w:tcPr>
          <w:p w:rsidR="000359BF" w:rsidRPr="007125D9" w:rsidRDefault="007125D9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2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Sesiunea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întrebări/răspunsuri referitor la testele de Bacalaureat a scos în evidență </w:t>
            </w:r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elaborare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unui test, selectarea </w:t>
            </w:r>
            <w:proofErr w:type="spellStart"/>
            <w:r w:rsidR="008F6BF8" w:rsidRPr="008F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itemilor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importanța evaluării pe eșantion, pretestărilor și tezelor și rolul </w:t>
            </w:r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 în alcătuirea testelor de evaluare națională.</w:t>
            </w:r>
          </w:p>
          <w:p w:rsidR="004D3D66" w:rsidRPr="00C96C24" w:rsidRDefault="000359BF" w:rsidP="007D4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</w:t>
            </w:r>
            <w:proofErr w:type="spellEnd"/>
            <w:r w:rsidRP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Ivanov,</w:t>
            </w:r>
            <w:r w:rsidR="00304F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672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direcția</w:t>
            </w:r>
            <w:r w:rsidRP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Agenției de Asigurare a Calității </w:t>
            </w:r>
          </w:p>
        </w:tc>
      </w:tr>
      <w:tr w:rsidR="00E7442B" w:rsidRPr="00C96C24" w:rsidTr="009F206C">
        <w:tc>
          <w:tcPr>
            <w:tcW w:w="2898" w:type="dxa"/>
            <w:vAlign w:val="center"/>
          </w:tcPr>
          <w:p w:rsidR="00E7442B" w:rsidRPr="00C96C24" w:rsidRDefault="00304F64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platformei experimentale a Liceului Academiei de Știință.</w:t>
            </w:r>
          </w:p>
        </w:tc>
        <w:tc>
          <w:tcPr>
            <w:tcW w:w="6570" w:type="dxa"/>
            <w:vAlign w:val="center"/>
          </w:tcPr>
          <w:p w:rsidR="00304F64" w:rsidRPr="00304F64" w:rsidRDefault="00304F64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Excursie la liceul AȘM. Prezentarea curriculumului și programului educațional implementat în acest liceu. Cunoașterea </w:t>
            </w:r>
            <w:r w:rsidR="000908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</w:t>
            </w:r>
            <w:r w:rsidR="006D15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de admitere și regulilor pentru liceenii ce-și fac studiile</w:t>
            </w:r>
            <w:r w:rsidR="002D5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LAȘM</w:t>
            </w:r>
            <w:r w:rsidR="006D15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Discuții cu elevii și profesorii despre avantajele și dezavantajele acestui sistem educațional.</w:t>
            </w:r>
          </w:p>
          <w:p w:rsidR="00DD0B90" w:rsidRPr="00C96C24" w:rsidRDefault="00304F64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035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Iurie Cristea, director Liceul AȘM</w:t>
            </w:r>
          </w:p>
        </w:tc>
      </w:tr>
      <w:tr w:rsidR="00660F0F" w:rsidRPr="00C96C24" w:rsidTr="009F206C">
        <w:tc>
          <w:tcPr>
            <w:tcW w:w="2898" w:type="dxa"/>
            <w:vAlign w:val="center"/>
          </w:tcPr>
          <w:p w:rsidR="00660F0F" w:rsidRPr="00C96C24" w:rsidRDefault="006D15E9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rezultatelor campaniilor de promovare a toleranței și combaterea a violenței, organizate de către membrii CNE în școli.</w:t>
            </w:r>
          </w:p>
        </w:tc>
        <w:tc>
          <w:tcPr>
            <w:tcW w:w="6570" w:type="dxa"/>
            <w:vAlign w:val="center"/>
          </w:tcPr>
          <w:p w:rsidR="00432DF2" w:rsidRDefault="00432DF2" w:rsidP="007D4467">
            <w:pPr>
              <w:pStyle w:val="Titlu5"/>
              <w:shd w:val="clear" w:color="auto" w:fill="FFFFFF"/>
              <w:spacing w:before="0" w:line="360" w:lineRule="auto"/>
              <w:ind w:right="157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Discuții referitor la tipurile de violență observate în perioada de monitorizare. Definirea violenței și caracteristicile acesteia. </w:t>
            </w:r>
            <w:r w:rsidR="00DB2A6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Relatarea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rezultatelor chestionarelor îndeplinite </w:t>
            </w:r>
            <w:r w:rsidR="002F0D1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de către elevi, în urma cărora nu au fost depistate cazuri de violență din partea profesorilor. </w:t>
            </w:r>
            <w:r w:rsidR="00DB2A6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La fel elevii au prezentat acțiunile care le-au întreprins la ei în școli pentru a promova toleranța printre elevi, acestea enumeră: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seminare/ateliere cu elevii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gazete de perete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panou informativ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filmuleț 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poster ”Spune NU violenței”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cutia/boxa anonimă</w:t>
            </w:r>
          </w:p>
          <w:p w:rsidR="00DB2A65" w:rsidRDefault="00DB2A65" w:rsidP="007D4467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cutie pentru donații</w:t>
            </w:r>
          </w:p>
          <w:p w:rsidR="005F6947" w:rsidRPr="00C96C24" w:rsidRDefault="00432DF2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Iosif Moldovanu, </w:t>
            </w:r>
            <w:r w:rsidRPr="00432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național în domeniul drepturilor copilului</w:t>
            </w:r>
          </w:p>
        </w:tc>
      </w:tr>
      <w:tr w:rsidR="00E7442B" w:rsidRPr="00C96C24" w:rsidTr="009F206C">
        <w:tc>
          <w:tcPr>
            <w:tcW w:w="2898" w:type="dxa"/>
            <w:vAlign w:val="center"/>
          </w:tcPr>
          <w:p w:rsidR="00E7442B" w:rsidRPr="00C96C24" w:rsidRDefault="00DB2A65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Educație prin imagine. Proiecțiile documentare – strategii de educație.</w:t>
            </w:r>
          </w:p>
        </w:tc>
        <w:tc>
          <w:tcPr>
            <w:tcW w:w="6570" w:type="dxa"/>
            <w:vAlign w:val="center"/>
          </w:tcPr>
          <w:p w:rsidR="00AB0DB8" w:rsidRDefault="007D4467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cadrul atelierului a fost prezentat filmul documentar ca o tehnică educațională interactivă, aceasta fiind folosită cu succes în alte state. Am aflat posibilitățile de încadrare a acestora în sistemul educațional de la noi și am văzut cum scoatem în evidență avantajele (unui oraș) prin intermediul unui film documentar.</w:t>
            </w:r>
          </w:p>
          <w:p w:rsidR="005C75A4" w:rsidRPr="00C96C24" w:rsidRDefault="005C75A4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7D4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="00DB2A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rgiliu Mărgineanu, producător de film, OWH</w:t>
            </w:r>
          </w:p>
        </w:tc>
      </w:tr>
      <w:tr w:rsidR="00D66C4C" w:rsidRPr="00C96C24" w:rsidTr="009F206C">
        <w:tc>
          <w:tcPr>
            <w:tcW w:w="2898" w:type="dxa"/>
            <w:vAlign w:val="center"/>
          </w:tcPr>
          <w:p w:rsidR="00D66C4C" w:rsidRPr="00CB2294" w:rsidRDefault="00DB2A65" w:rsidP="007D4467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 w:rsidRPr="00CB229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Codul de etică al elevului</w:t>
            </w:r>
            <w:r w:rsidR="00CB2294" w:rsidRPr="00CB229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70" w:type="dxa"/>
            <w:vAlign w:val="center"/>
          </w:tcPr>
          <w:p w:rsidR="00DB2A65" w:rsidRDefault="00CB2294" w:rsidP="007D4467">
            <w:pPr>
              <w:pStyle w:val="Titlu5"/>
              <w:shd w:val="clear" w:color="auto" w:fill="FFFFFF"/>
              <w:spacing w:before="0" w:line="360" w:lineRule="auto"/>
              <w:ind w:right="157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B2294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Prezentarea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codului de etică efectuat de către elevii din L. T. ”Lipcani”  și prevederile acestuia.</w:t>
            </w:r>
          </w:p>
          <w:p w:rsidR="00CB2294" w:rsidRDefault="00CB2294" w:rsidP="00CB2294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 w:rsidRPr="00CB229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Lucru în grup: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B2294" w:rsidRDefault="00CB2294" w:rsidP="00CB2294">
            <w:pPr>
              <w:pStyle w:val="Listparagraf"/>
              <w:numPr>
                <w:ilvl w:val="0"/>
                <w:numId w:val="15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structurarea codului</w:t>
            </w:r>
          </w:p>
          <w:p w:rsidR="00CB2294" w:rsidRDefault="00CB2294" w:rsidP="00CB2294">
            <w:pPr>
              <w:pStyle w:val="Listparagraf"/>
              <w:numPr>
                <w:ilvl w:val="0"/>
                <w:numId w:val="15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obiecții și recomandări</w:t>
            </w:r>
          </w:p>
          <w:p w:rsidR="00CB2294" w:rsidRDefault="00CB2294" w:rsidP="00CB2294">
            <w:pPr>
              <w:pStyle w:val="Listparagraf"/>
              <w:numPr>
                <w:ilvl w:val="0"/>
                <w:numId w:val="15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prezentarea codului modificat</w:t>
            </w:r>
          </w:p>
          <w:p w:rsidR="00CB2294" w:rsidRPr="00CB2294" w:rsidRDefault="00CB2294" w:rsidP="00CB2294">
            <w:pPr>
              <w:pStyle w:val="Listparagraf"/>
              <w:numPr>
                <w:ilvl w:val="0"/>
                <w:numId w:val="15"/>
              </w:num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votarea celui mai argumentat cod.</w:t>
            </w:r>
          </w:p>
          <w:p w:rsidR="00CB2294" w:rsidRDefault="00CB2294" w:rsidP="00CB2294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</w:p>
          <w:p w:rsidR="00D66C4C" w:rsidRPr="00C96C24" w:rsidRDefault="00305F00" w:rsidP="002D578D">
            <w:pPr>
              <w:pStyle w:val="Titlu5"/>
              <w:shd w:val="clear" w:color="auto" w:fill="FFFFFF"/>
              <w:spacing w:before="0" w:line="360" w:lineRule="auto"/>
              <w:ind w:right="157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B22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Expert:</w:t>
            </w:r>
            <w:r w:rsidRPr="00C96C24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C75E6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Zinaida Adam</w:t>
            </w:r>
            <w:r w:rsidR="007D4467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,</w:t>
            </w:r>
            <w:r w:rsidR="002D578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expert PNUD</w:t>
            </w:r>
          </w:p>
        </w:tc>
      </w:tr>
      <w:tr w:rsidR="009A21FB" w:rsidRPr="00C96C24" w:rsidTr="009F206C">
        <w:tc>
          <w:tcPr>
            <w:tcW w:w="2898" w:type="dxa"/>
            <w:vAlign w:val="center"/>
          </w:tcPr>
          <w:p w:rsidR="009A21FB" w:rsidRPr="00C96C24" w:rsidRDefault="00CB2294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Codul de etică al cadrelor didactice </w:t>
            </w:r>
          </w:p>
        </w:tc>
        <w:tc>
          <w:tcPr>
            <w:tcW w:w="6570" w:type="dxa"/>
            <w:vAlign w:val="center"/>
          </w:tcPr>
          <w:p w:rsidR="00CB2294" w:rsidRPr="00CB2294" w:rsidRDefault="00CB2294" w:rsidP="007D4467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 w:rsidRPr="00CB229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codului de etică al profesorilor</w:t>
            </w:r>
            <w:r w:rsidR="00511EB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și prevederile acestuia. A fost adus la discuție </w:t>
            </w:r>
            <w:r w:rsidR="00594D0E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modalitățile de depistare a încălcărilor din partea profesorilor a </w:t>
            </w:r>
            <w:r w:rsidR="002D578D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codului</w:t>
            </w:r>
            <w:r w:rsidR="00594D0E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sancțiunile prevăzute de legislație. La fel s-a abordat subiectul consiliilor de etică și eficiența acestora, autodisciplinarea cadrelor didactice, vestimentația </w:t>
            </w:r>
            <w:proofErr w:type="spellStart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cît</w:t>
            </w:r>
            <w:proofErr w:type="spellEnd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a elevilor </w:t>
            </w:r>
            <w:proofErr w:type="spellStart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atît</w:t>
            </w:r>
            <w:proofErr w:type="spellEnd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și a profesorilor (necesitatea uniformei) și comportamentul profesorilor înafara instituției de </w:t>
            </w:r>
            <w:proofErr w:type="spellStart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învățămînt</w:t>
            </w:r>
            <w:proofErr w:type="spellEnd"/>
            <w:r w:rsidR="008304CB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9F206C" w:rsidRPr="00C96C24" w:rsidRDefault="00103252" w:rsidP="009F20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o-RO"/>
              </w:rPr>
              <w:t>Experți</w:t>
            </w:r>
            <w:r w:rsidRPr="00C96C2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6D15E9"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Rodica </w:t>
            </w:r>
            <w:proofErr w:type="spellStart"/>
            <w:r w:rsidR="006D15E9"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Josanu</w:t>
            </w:r>
            <w:proofErr w:type="spellEnd"/>
            <w:r w:rsidR="006D15E9" w:rsidRPr="00C96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șef secția juridică, Ministerul Educației</w:t>
            </w:r>
          </w:p>
        </w:tc>
      </w:tr>
      <w:tr w:rsidR="008304CB" w:rsidRPr="00C96C24" w:rsidTr="009F206C">
        <w:trPr>
          <w:trHeight w:val="2898"/>
        </w:trPr>
        <w:tc>
          <w:tcPr>
            <w:tcW w:w="2898" w:type="dxa"/>
          </w:tcPr>
          <w:p w:rsidR="008304CB" w:rsidRPr="00C96C24" w:rsidRDefault="008304CB" w:rsidP="00CB2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continuității și funcționalității CNE. </w:t>
            </w:r>
          </w:p>
          <w:p w:rsidR="008304CB" w:rsidRPr="00C96C24" w:rsidRDefault="008304CB" w:rsidP="007D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din partea participanților despre utilitatea atelierului și activității pe parcursul anului.</w:t>
            </w:r>
          </w:p>
        </w:tc>
        <w:tc>
          <w:tcPr>
            <w:tcW w:w="6570" w:type="dxa"/>
            <w:vAlign w:val="center"/>
          </w:tcPr>
          <w:p w:rsidR="008304CB" w:rsidRDefault="009F206C" w:rsidP="00CB2294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o-RO"/>
              </w:rPr>
            </w:pPr>
            <w:r w:rsidRPr="009F206C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Completarea chestionarelor despre activitatea Consiliului și analiza rezultatelor.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206C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Lucru în grup pentru a remarca metamorfozele membrilor CNE și factori</w:t>
            </w:r>
            <w:r w:rsidR="002D578D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i</w:t>
            </w:r>
            <w:r w:rsidRPr="009F206C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ce au contribuit la aceste schimbări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 (Anexa 2). Alcătuirea ”Testamentului” pentru membrii CNE din mandatul următor, pentru asigurarea continuității și eficienței acestuia(Anexa 3) și oferirea feedbackului anonim pentru atelier IV (Anexa 4).</w:t>
            </w:r>
          </w:p>
          <w:p w:rsidR="008304CB" w:rsidRPr="00C96C24" w:rsidRDefault="008304CB" w:rsidP="00CB2294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</w:pPr>
            <w:r w:rsidRPr="00C96C24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o-RO"/>
              </w:rPr>
              <w:t>Expert</w:t>
            </w:r>
            <w:r w:rsidRPr="00C96C24"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 xml:space="preserve">Ludmila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Botnar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director interimar CRCT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</w:tr>
    </w:tbl>
    <w:p w:rsidR="009F206C" w:rsidRDefault="009F206C" w:rsidP="007D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206C" w:rsidRDefault="009F206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9F206C" w:rsidRPr="009F206C" w:rsidRDefault="009F206C" w:rsidP="009F206C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206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1</w:t>
      </w: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843"/>
        <w:gridCol w:w="1559"/>
        <w:gridCol w:w="807"/>
        <w:gridCol w:w="2610"/>
      </w:tblGrid>
      <w:tr w:rsidR="009F206C" w:rsidRPr="004D0506" w:rsidTr="00985A29">
        <w:trPr>
          <w:trHeight w:val="560"/>
        </w:trPr>
        <w:tc>
          <w:tcPr>
            <w:tcW w:w="568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Sex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Raion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-6" w:firstLine="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Clasa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9F206C" w:rsidRPr="004D0506" w:rsidRDefault="009F206C" w:rsidP="00985A29">
            <w:pPr>
              <w:spacing w:line="240" w:lineRule="auto"/>
              <w:ind w:left="-6" w:firstLine="6"/>
              <w:jc w:val="center"/>
              <w:rPr>
                <w:b/>
                <w:sz w:val="20"/>
                <w:szCs w:val="20"/>
                <w:lang w:val="ro-RO"/>
              </w:rPr>
            </w:pPr>
            <w:r w:rsidRPr="004D0506">
              <w:rPr>
                <w:b/>
                <w:sz w:val="20"/>
                <w:szCs w:val="20"/>
                <w:lang w:val="ro-RO"/>
              </w:rPr>
              <w:t>Instituţie</w:t>
            </w:r>
          </w:p>
        </w:tc>
      </w:tr>
      <w:tr w:rsidR="009F206C" w:rsidRPr="004D0506" w:rsidTr="00985A29">
        <w:trPr>
          <w:trHeight w:val="130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Baiu Elena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Ignăței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Rezina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L.T. ,,I. Sârbu”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Batîr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Andrei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Rîbniţa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Rîbniţa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„</w:t>
            </w:r>
            <w:proofErr w:type="spellStart"/>
            <w:r w:rsidRPr="004D0506">
              <w:rPr>
                <w:color w:val="000000"/>
                <w:sz w:val="20"/>
                <w:szCs w:val="20"/>
                <w:lang w:val="ro-RO"/>
              </w:rPr>
              <w:t>Evrika</w:t>
            </w:r>
            <w:proofErr w:type="spellEnd"/>
            <w:r w:rsidRPr="004D0506">
              <w:rPr>
                <w:color w:val="000000"/>
                <w:sz w:val="20"/>
                <w:szCs w:val="20"/>
                <w:lang w:val="ro-RO"/>
              </w:rPr>
              <w:t>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Berzan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Nicoleta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Doroţcaia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Dubăsari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L.T.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Doroţcaia</w:t>
            </w:r>
            <w:proofErr w:type="spellEnd"/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Bogdan Călin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„V. Coroban”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Botezatu Alina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Baraboi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Donduşeni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 T. „Prometeu”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Botnari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Anastasia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Edineț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Edineț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Gimnaziul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Edineț</w:t>
            </w:r>
            <w:proofErr w:type="spellEnd"/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Candu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Anastasia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Vasieni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Ialoveni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„D. Cantemir”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Canuda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Aureliu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Nisporeni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Nisporeni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 T. „Ştefan cel Mare”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Cernouţan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Vladislav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Leova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Leova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L.T. „C. Spătaru”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Chilari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Bogdana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Mandîc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Drochia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 xml:space="preserve">Gimnaziul </w:t>
            </w:r>
            <w:r w:rsidRPr="004D050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Mandîc</w:t>
            </w:r>
            <w:proofErr w:type="spellEnd"/>
            <w:r w:rsidRPr="004D0506">
              <w:rPr>
                <w:color w:val="000000"/>
                <w:sz w:val="20"/>
                <w:szCs w:val="20"/>
                <w:lang w:val="ro-RO"/>
              </w:rPr>
              <w:t xml:space="preserve">  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Cuzuioc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Rubleniţa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Soroca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 T. Rubleniţa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Domenco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Adrian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Cociulia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Cantemir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L. T. „V.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Hanganu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>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Eriomenco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Nicoleta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Paicu, c.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Zîrnești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Cahul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L.T. ”I. Creangă”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Gogu Nadejda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Anenii-Noi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 T. „E. Nicula”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Guzun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Adrian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Măgdăceşti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Criuleni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 xml:space="preserve">L.T. </w:t>
            </w:r>
            <w:proofErr w:type="spellStart"/>
            <w:r w:rsidRPr="004D0506">
              <w:rPr>
                <w:color w:val="000000"/>
                <w:sz w:val="20"/>
                <w:szCs w:val="20"/>
                <w:lang w:val="ro-RO"/>
              </w:rPr>
              <w:t>Măgdăceşti</w:t>
            </w:r>
            <w:proofErr w:type="spellEnd"/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Iachimciuc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Victoria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Rîşcani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 T. „S. Lucaci”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Lapp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Tudor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Bravicea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 T. „Ştefan cel Mare”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Lupu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Rusalina</w:t>
            </w:r>
            <w:proofErr w:type="spellEnd"/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Căuşeni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 T. „Meşterul Manole”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Lupuşor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Cristina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Chişinău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Chişinău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„Gh. Asachi”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Mazuru Stela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 T. „Gh. Asachi”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Moroz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Andrei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Drochia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Drochia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nr. 3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Neiculova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Anastasia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Taraclia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Taraclia 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Gimnaziul „O. Panova”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Petcoglo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Alexandra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Basarabeasca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Basarabeasca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IX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L.T. „A. Puşkin”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Pîrlog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Silvia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Mingir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Hîncești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 xml:space="preserve">L.T. </w:t>
            </w:r>
            <w:r w:rsidRPr="004D0506">
              <w:rPr>
                <w:sz w:val="20"/>
                <w:szCs w:val="20"/>
                <w:lang w:val="ro-RO"/>
              </w:rPr>
              <w:t>”Șt. Holban 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Rălenu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Nicolae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Rădulenii  Vechi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pStyle w:val="Frspaiere"/>
              <w:spacing w:after="200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Gimnaziul „P.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Lucinschi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>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Revenco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Maria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Satul Nou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Cimișlia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Gimnaziul „T. </w:t>
            </w:r>
            <w:proofErr w:type="spellStart"/>
            <w:r w:rsidRPr="004D0506">
              <w:rPr>
                <w:sz w:val="20"/>
                <w:szCs w:val="20"/>
                <w:lang w:val="ro-RO"/>
              </w:rPr>
              <w:t>Strișcă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>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Rotari Valentin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</w:rPr>
              <w:t>Chișinău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</w:rPr>
              <w:t>Chișinău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IX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L.T. ,,Ginta Latină’’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 xml:space="preserve">Rotaru Stela 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Ghiliceni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Teleneşti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Gimnaziul Ghiliceni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Russu Vicu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Lipnic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L.T.„M. Sadoveanu”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Stadnic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Valeria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Talmaza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Ştefan-Vodă</w:t>
            </w:r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VII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Gimnaziul „A. Sîrghi”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Staraia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Daria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Sîngerei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Sîngerei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IX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D0506">
              <w:rPr>
                <w:color w:val="000000"/>
                <w:sz w:val="20"/>
                <w:szCs w:val="20"/>
                <w:lang w:val="ro-RO"/>
              </w:rPr>
              <w:t>L.T.  „Olimp”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  <w:lang w:val="ro-RO"/>
              </w:rPr>
              <w:t>Straciuc</w:t>
            </w:r>
            <w:proofErr w:type="spellEnd"/>
            <w:r w:rsidRPr="004D0506">
              <w:rPr>
                <w:sz w:val="20"/>
                <w:szCs w:val="20"/>
                <w:lang w:val="ro-RO"/>
              </w:rPr>
              <w:t xml:space="preserve"> Nicoleta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D0506">
              <w:rPr>
                <w:color w:val="222222"/>
                <w:sz w:val="20"/>
                <w:szCs w:val="20"/>
                <w:shd w:val="clear" w:color="auto" w:fill="FFFFFF"/>
              </w:rPr>
              <w:t>Bălţi</w:t>
            </w:r>
            <w:proofErr w:type="spellEnd"/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color w:val="222222"/>
                <w:sz w:val="20"/>
                <w:szCs w:val="20"/>
                <w:shd w:val="clear" w:color="auto" w:fill="FFFFFF"/>
              </w:rPr>
              <w:t>Bălţi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XI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4D0506">
              <w:rPr>
                <w:sz w:val="20"/>
                <w:szCs w:val="20"/>
                <w:lang w:val="ro-RO"/>
              </w:rPr>
              <w:t>L.T. „G. Coşbuc”</w:t>
            </w:r>
          </w:p>
        </w:tc>
      </w:tr>
      <w:tr w:rsidR="009F206C" w:rsidRPr="004D0506" w:rsidTr="00985A29">
        <w:trPr>
          <w:trHeight w:val="61"/>
        </w:trPr>
        <w:tc>
          <w:tcPr>
            <w:tcW w:w="568" w:type="dxa"/>
          </w:tcPr>
          <w:p w:rsidR="009F206C" w:rsidRPr="004D0506" w:rsidRDefault="009F206C" w:rsidP="009F206C">
            <w:pPr>
              <w:pStyle w:val="Listparagraf"/>
              <w:numPr>
                <w:ilvl w:val="0"/>
                <w:numId w:val="18"/>
              </w:numPr>
              <w:spacing w:line="240" w:lineRule="auto"/>
              <w:contextualSpacing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sz w:val="20"/>
                <w:szCs w:val="20"/>
              </w:rPr>
              <w:t>Tarlapan</w:t>
            </w:r>
            <w:proofErr w:type="spellEnd"/>
            <w:r w:rsidRPr="004D0506">
              <w:rPr>
                <w:sz w:val="20"/>
                <w:szCs w:val="20"/>
              </w:rPr>
              <w:t xml:space="preserve"> Gabriela</w:t>
            </w:r>
          </w:p>
        </w:tc>
        <w:tc>
          <w:tcPr>
            <w:tcW w:w="709" w:type="dxa"/>
          </w:tcPr>
          <w:p w:rsidR="009F206C" w:rsidRPr="004D0506" w:rsidRDefault="009F206C" w:rsidP="00985A29">
            <w:pPr>
              <w:spacing w:line="240" w:lineRule="auto"/>
              <w:ind w:left="426" w:hanging="426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F</w:t>
            </w:r>
          </w:p>
        </w:tc>
        <w:tc>
          <w:tcPr>
            <w:tcW w:w="1843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it-IT"/>
              </w:rPr>
              <w:t xml:space="preserve">Bălți </w:t>
            </w:r>
          </w:p>
        </w:tc>
        <w:tc>
          <w:tcPr>
            <w:tcW w:w="1559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4D0506">
              <w:rPr>
                <w:color w:val="222222"/>
                <w:sz w:val="20"/>
                <w:szCs w:val="20"/>
                <w:shd w:val="clear" w:color="auto" w:fill="FFFFFF"/>
              </w:rPr>
              <w:t>Bălţi</w:t>
            </w:r>
            <w:proofErr w:type="spellEnd"/>
          </w:p>
        </w:tc>
        <w:tc>
          <w:tcPr>
            <w:tcW w:w="807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4D0506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610" w:type="dxa"/>
          </w:tcPr>
          <w:p w:rsidR="009F206C" w:rsidRPr="004D0506" w:rsidRDefault="009F206C" w:rsidP="00985A29">
            <w:pPr>
              <w:spacing w:line="240" w:lineRule="auto"/>
              <w:jc w:val="both"/>
              <w:rPr>
                <w:noProof/>
                <w:sz w:val="20"/>
                <w:szCs w:val="20"/>
                <w:lang w:val="ro-RO"/>
              </w:rPr>
            </w:pPr>
            <w:r w:rsidRPr="004D0506">
              <w:rPr>
                <w:noProof/>
                <w:sz w:val="20"/>
                <w:szCs w:val="20"/>
                <w:lang w:val="ro-RO"/>
              </w:rPr>
              <w:t>L.T. „I. Creangă”</w:t>
            </w:r>
          </w:p>
        </w:tc>
      </w:tr>
    </w:tbl>
    <w:p w:rsidR="004075F2" w:rsidRDefault="004075F2" w:rsidP="007D4467">
      <w:pPr>
        <w:pStyle w:val="Listparagraf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75F2" w:rsidRDefault="004075F2" w:rsidP="007D4467">
      <w:pPr>
        <w:pStyle w:val="Listparagraf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4406" w:rsidRPr="00194406" w:rsidRDefault="00C70010" w:rsidP="007D4467">
      <w:pPr>
        <w:pStyle w:val="Listparagraf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4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8304C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4075F2" w:rsidRDefault="004075F2" w:rsidP="007D4467">
      <w:pPr>
        <w:pStyle w:val="Listparagraf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EE" w:rsidRDefault="00194406" w:rsidP="007D4467">
      <w:pPr>
        <w:pStyle w:val="Listparagraf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Aprecierea</w:t>
      </w:r>
      <w:proofErr w:type="spellEnd"/>
      <w:r w:rsidRPr="002F0D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F0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membrii</w:t>
      </w:r>
      <w:proofErr w:type="spellEnd"/>
      <w:r w:rsidRPr="002F0D18">
        <w:rPr>
          <w:rFonts w:ascii="Times New Roman" w:hAnsi="Times New Roman" w:cs="Times New Roman"/>
          <w:b/>
          <w:sz w:val="24"/>
          <w:szCs w:val="24"/>
        </w:rPr>
        <w:t xml:space="preserve"> CNE a </w:t>
      </w:r>
      <w:r w:rsidRPr="002F0D18">
        <w:rPr>
          <w:rFonts w:ascii="Times New Roman" w:hAnsi="Times New Roman" w:cs="Times New Roman"/>
          <w:b/>
          <w:sz w:val="24"/>
          <w:szCs w:val="24"/>
          <w:lang w:val="ro-RO"/>
        </w:rPr>
        <w:t>schimbărilor</w:t>
      </w:r>
      <w:r w:rsidRPr="002F0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 w:rsidRPr="002F0D1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2F0D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0D1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611"/>
        <w:gridCol w:w="4634"/>
      </w:tblGrid>
      <w:tr w:rsidR="00194406" w:rsidRPr="002F0D18" w:rsidTr="00194406">
        <w:tc>
          <w:tcPr>
            <w:tcW w:w="4788" w:type="dxa"/>
          </w:tcPr>
          <w:p w:rsidR="00194406" w:rsidRPr="002F0D18" w:rsidRDefault="003A5608" w:rsidP="007D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D8B"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August 2014</w:t>
            </w:r>
          </w:p>
        </w:tc>
        <w:tc>
          <w:tcPr>
            <w:tcW w:w="4788" w:type="dxa"/>
          </w:tcPr>
          <w:p w:rsidR="00194406" w:rsidRPr="002F0D18" w:rsidRDefault="003A5608" w:rsidP="007D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D8B"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Mai 2015</w:t>
            </w:r>
          </w:p>
        </w:tc>
      </w:tr>
      <w:tr w:rsidR="00194406" w:rsidRPr="002F0D18" w:rsidTr="00194406">
        <w:tc>
          <w:tcPr>
            <w:tcW w:w="4788" w:type="dxa"/>
          </w:tcPr>
          <w:p w:rsidR="00194406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băteam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pasul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destul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informați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vorbeam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particular</w:t>
            </w:r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curioși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lipsiți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gălăgioși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lipsiți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 spiritual critic</w:t>
            </w:r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generali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exprimare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știam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lucrăm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:rsidR="003A5608" w:rsidRPr="002F0D18" w:rsidRDefault="003A5608" w:rsidP="009F206C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aveam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frica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de-a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expune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ideile</w:t>
            </w:r>
            <w:proofErr w:type="spellEnd"/>
          </w:p>
        </w:tc>
        <w:tc>
          <w:tcPr>
            <w:tcW w:w="4788" w:type="dxa"/>
          </w:tcPr>
          <w:p w:rsidR="00194406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asigurăm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discuției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sîntem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informați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vedem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tabloul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” general</w:t>
            </w:r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atenți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toleranți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motivați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critici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uniți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spunem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lucrurilor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</w:tc>
      </w:tr>
      <w:tr w:rsidR="003A5608" w:rsidRPr="002F0D18" w:rsidTr="00194406">
        <w:tc>
          <w:tcPr>
            <w:tcW w:w="4788" w:type="dxa"/>
          </w:tcPr>
          <w:p w:rsidR="003A5608" w:rsidRPr="002F0D18" w:rsidRDefault="003A5608" w:rsidP="007D4467">
            <w:pPr>
              <w:pStyle w:val="List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Ne-a </w:t>
            </w:r>
            <w:proofErr w:type="spellStart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ajutat</w:t>
            </w:r>
            <w:proofErr w:type="spellEnd"/>
          </w:p>
        </w:tc>
        <w:tc>
          <w:tcPr>
            <w:tcW w:w="4788" w:type="dxa"/>
          </w:tcPr>
          <w:p w:rsidR="003A5608" w:rsidRPr="002F0D18" w:rsidRDefault="003A5608" w:rsidP="007D4467">
            <w:pPr>
              <w:pStyle w:val="List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Ne-a </w:t>
            </w:r>
            <w:proofErr w:type="spellStart"/>
            <w:r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="007A366B" w:rsidRPr="002F0D18">
              <w:rPr>
                <w:rFonts w:ascii="Times New Roman" w:hAnsi="Times New Roman" w:cs="Times New Roman"/>
                <w:b/>
                <w:sz w:val="24"/>
                <w:szCs w:val="24"/>
              </w:rPr>
              <w:t>mpiedicat</w:t>
            </w:r>
            <w:proofErr w:type="spellEnd"/>
          </w:p>
        </w:tc>
      </w:tr>
      <w:tr w:rsidR="003A5608" w:rsidRPr="002F0D18" w:rsidTr="00194406">
        <w:tc>
          <w:tcPr>
            <w:tcW w:w="4788" w:type="dxa"/>
          </w:tcPr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părerile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experților</w:t>
            </w:r>
            <w:proofErr w:type="spellEnd"/>
          </w:p>
          <w:p w:rsidR="003A5608" w:rsidRPr="002F0D18" w:rsidRDefault="003A5608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ghidarea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coordonatorilor</w:t>
            </w:r>
            <w:proofErr w:type="spellEnd"/>
          </w:p>
          <w:p w:rsidR="003A5608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discuțiile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dezbaterile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temele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acasă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atmosfera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colegială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plăcută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feedback-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oferit</w:t>
            </w:r>
            <w:proofErr w:type="spellEnd"/>
          </w:p>
        </w:tc>
        <w:tc>
          <w:tcPr>
            <w:tcW w:w="4788" w:type="dxa"/>
          </w:tcPr>
          <w:p w:rsidR="003A5608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nereceptivitatea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experți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subiectelor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commune</w:t>
            </w:r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atelierele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petreceau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manieră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monotonă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indiferența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acasă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diferența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vîrste</w:t>
            </w:r>
            <w:proofErr w:type="spellEnd"/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limitarea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mandat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66B" w:rsidRPr="002F0D18" w:rsidRDefault="007A366B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indiferența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</w:p>
          <w:p w:rsidR="007A366B" w:rsidRPr="002F0D18" w:rsidRDefault="007F23B7" w:rsidP="007D4467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D18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</w:tr>
    </w:tbl>
    <w:p w:rsidR="004075F2" w:rsidRDefault="004075F2" w:rsidP="009F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5F2" w:rsidRDefault="004075F2" w:rsidP="009F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5F2" w:rsidRDefault="004075F2" w:rsidP="009F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15E9" w:rsidRPr="002F0D18" w:rsidRDefault="003A5608" w:rsidP="009F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8304CB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8304C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78D" w:rsidRPr="002D578D" w:rsidRDefault="002D578D" w:rsidP="002D57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Testamentul</w:t>
      </w:r>
    </w:p>
    <w:p w:rsidR="002D578D" w:rsidRPr="002D578D" w:rsidRDefault="002D578D" w:rsidP="002D57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 xml:space="preserve">”Educația nu e a noastră, e a urmașilor noștri” </w:t>
      </w:r>
      <w:proofErr w:type="spellStart"/>
      <w:r w:rsidRPr="002D578D">
        <w:rPr>
          <w:rFonts w:ascii="Times New Roman" w:hAnsi="Times New Roman" w:cs="Times New Roman"/>
          <w:sz w:val="24"/>
          <w:szCs w:val="24"/>
          <w:lang w:val="ro-RO"/>
        </w:rPr>
        <w:t>Lapp</w:t>
      </w:r>
      <w:proofErr w:type="spellEnd"/>
      <w:r w:rsidRPr="002D578D">
        <w:rPr>
          <w:rFonts w:ascii="Times New Roman" w:hAnsi="Times New Roman" w:cs="Times New Roman"/>
          <w:sz w:val="24"/>
          <w:szCs w:val="24"/>
          <w:lang w:val="ro-RO"/>
        </w:rPr>
        <w:t xml:space="preserve"> Tudor, 10.05.2015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2D578D">
        <w:rPr>
          <w:rFonts w:ascii="Times New Roman" w:hAnsi="Times New Roman" w:cs="Times New Roman"/>
          <w:sz w:val="24"/>
          <w:szCs w:val="24"/>
          <w:lang w:val="ro-RO"/>
        </w:rPr>
        <w:t>Axați-</w:t>
      </w:r>
      <w:proofErr w:type="spellEnd"/>
      <w:r w:rsidRPr="002D578D">
        <w:rPr>
          <w:rFonts w:ascii="Times New Roman" w:hAnsi="Times New Roman" w:cs="Times New Roman"/>
          <w:sz w:val="24"/>
          <w:szCs w:val="24"/>
          <w:lang w:val="ro-RO"/>
        </w:rPr>
        <w:t xml:space="preserve"> vă pe rezolvarea problemelor reale.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Axați-vă pe lucrul în echipă!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Schimbarea începe prin implicare: exprimați-vă punctul de vedere.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Aveți dreptul și obligația morală de a cere ajutor de la APL și Direcțiile locale (ei trebuie să vă ajute).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CNE a existat 2 ani fără o structură, voi puteți schimba acest lucru (regulament intern).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Dacă simțiți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>ă CNE nu e pentru voi, oferiți altora oportunitatea de a se implica!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Apreciați fiecare invitat, informați-vă despre statutul lui și păstrați continuitatea în relația cu el.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Păstrați și continuați parteneriatele.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Încurajați mobilitatea între CRE și membrii CNE.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Socializați și înafara atelierelor.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11.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Păstrați spiritual critic fără a fi autoritari.</w:t>
      </w:r>
    </w:p>
    <w:p w:rsidR="002D578D" w:rsidRPr="002D578D" w:rsidRDefault="002D578D" w:rsidP="002D57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78D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ab/>
        <w:t>Asumați-vă responsabilitatea pentru deciziile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78D">
        <w:rPr>
          <w:rFonts w:ascii="Times New Roman" w:hAnsi="Times New Roman" w:cs="Times New Roman"/>
          <w:sz w:val="24"/>
          <w:szCs w:val="24"/>
          <w:lang w:val="ro-RO"/>
        </w:rPr>
        <w:t>voastre.</w:t>
      </w:r>
    </w:p>
    <w:p w:rsidR="009F206C" w:rsidRPr="00C96C24" w:rsidRDefault="009F206C" w:rsidP="009F20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9F206C" w:rsidRPr="00C96C24" w:rsidRDefault="009F206C" w:rsidP="009F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FEEDBACK DIN PARTEA ELEVILOR DUPĂ ATELIER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206C" w:rsidRDefault="009F206C" w:rsidP="009F2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mi-a plăcut</w:t>
      </w: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0AA3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țile înafara programului (TEATRU, escalada, film);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atitudinea mentorilor și </w:t>
      </w:r>
      <w:r w:rsidR="002D578D">
        <w:rPr>
          <w:rFonts w:ascii="Times New Roman" w:hAnsi="Times New Roman" w:cs="Times New Roman"/>
          <w:sz w:val="24"/>
          <w:szCs w:val="24"/>
          <w:lang w:val="ro-RO"/>
        </w:rPr>
        <w:t>organizatorilor faț</w:t>
      </w:r>
      <w:r>
        <w:rPr>
          <w:rFonts w:ascii="Times New Roman" w:hAnsi="Times New Roman" w:cs="Times New Roman"/>
          <w:sz w:val="24"/>
          <w:szCs w:val="24"/>
          <w:lang w:val="ro-RO"/>
        </w:rPr>
        <w:t>ă de noi;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obiectivitatea colegilor;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relația de cauză-efect între ateliere;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s-a ținut cont de sugestiile din atelierul precedent;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prezentarea și atelierul cu Vergiliu Mărgineanu;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spiritul libertin al membrilor CNE;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m-am simțit în siguranță, am fost respectat;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petrecut timpul liber util și interesant;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vizita la liceul AȘM;</w:t>
      </w:r>
    </w:p>
    <w:p w:rsidR="009F206C" w:rsidRPr="00432DF2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DF2">
        <w:rPr>
          <w:rFonts w:ascii="Times New Roman" w:hAnsi="Times New Roman" w:cs="Times New Roman"/>
          <w:sz w:val="24"/>
          <w:szCs w:val="24"/>
          <w:lang w:val="ro-RO"/>
        </w:rPr>
        <w:t>echipa de organizare;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77B3">
        <w:rPr>
          <w:rFonts w:ascii="Times New Roman" w:hAnsi="Times New Roman" w:cs="Times New Roman"/>
          <w:sz w:val="24"/>
          <w:szCs w:val="24"/>
          <w:lang w:val="ro-RO"/>
        </w:rPr>
        <w:t>posibilitatea de autodezvoltare;</w:t>
      </w:r>
    </w:p>
    <w:p w:rsidR="009F206C" w:rsidRDefault="009F206C" w:rsidP="009F206C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206C" w:rsidRPr="00C96C24" w:rsidRDefault="009F206C" w:rsidP="009F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C24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C96C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nu mi-a plăcut</w:t>
      </w:r>
      <w:r w:rsidRPr="00C96C24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atitudinea unor invitați în cadrul atelierului;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experții, care au venit cu activități plictisitoare și nepotrivite;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modalitatea de organizare a unor ateliere; </w:t>
      </w:r>
      <w:bookmarkStart w:id="0" w:name="_GoBack"/>
      <w:bookmarkEnd w:id="0"/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lucrul în grup organizat la o sesiune;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faptul că nu am avut vizită la Minister;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condițiile de cazare;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puțină mișcare fizică;</w:t>
      </w:r>
    </w:p>
    <w:p w:rsidR="009F206C" w:rsidRDefault="009F206C" w:rsidP="009F206C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am obținut răspunsuri directe și oneste de la unii invitați;</w:t>
      </w:r>
    </w:p>
    <w:p w:rsidR="009F206C" w:rsidRPr="00194406" w:rsidRDefault="009F206C" w:rsidP="009F206C">
      <w:pPr>
        <w:pStyle w:val="Listparagraf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4406">
        <w:rPr>
          <w:rFonts w:ascii="Times New Roman" w:hAnsi="Times New Roman" w:cs="Times New Roman"/>
          <w:sz w:val="24"/>
          <w:szCs w:val="24"/>
          <w:lang w:val="ro-RO"/>
        </w:rPr>
        <w:t xml:space="preserve">absența unor membri;   </w:t>
      </w:r>
    </w:p>
    <w:p w:rsidR="007F23B7" w:rsidRPr="007F23B7" w:rsidRDefault="007F23B7" w:rsidP="007D4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23B7" w:rsidRPr="007F23B7" w:rsidSect="004075F2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57" w:rsidRDefault="009C4057" w:rsidP="00907940">
      <w:pPr>
        <w:spacing w:after="0" w:line="240" w:lineRule="auto"/>
      </w:pPr>
      <w:r>
        <w:separator/>
      </w:r>
    </w:p>
  </w:endnote>
  <w:endnote w:type="continuationSeparator" w:id="0">
    <w:p w:rsidR="009C4057" w:rsidRDefault="009C4057" w:rsidP="009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57" w:rsidRDefault="009C4057" w:rsidP="00907940">
      <w:pPr>
        <w:spacing w:after="0" w:line="240" w:lineRule="auto"/>
      </w:pPr>
      <w:r>
        <w:separator/>
      </w:r>
    </w:p>
  </w:footnote>
  <w:footnote w:type="continuationSeparator" w:id="0">
    <w:p w:rsidR="009C4057" w:rsidRDefault="009C4057" w:rsidP="009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E6"/>
    <w:multiLevelType w:val="hybridMultilevel"/>
    <w:tmpl w:val="8B48F50E"/>
    <w:lvl w:ilvl="0" w:tplc="93E42A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BB2"/>
    <w:multiLevelType w:val="hybridMultilevel"/>
    <w:tmpl w:val="CD1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659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E49"/>
    <w:multiLevelType w:val="hybridMultilevel"/>
    <w:tmpl w:val="C3EE3EB4"/>
    <w:lvl w:ilvl="0" w:tplc="EED607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2A71"/>
    <w:multiLevelType w:val="hybridMultilevel"/>
    <w:tmpl w:val="3CE8EF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2012"/>
    <w:multiLevelType w:val="hybridMultilevel"/>
    <w:tmpl w:val="D174E3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023C"/>
    <w:multiLevelType w:val="hybridMultilevel"/>
    <w:tmpl w:val="BBFE70F0"/>
    <w:lvl w:ilvl="0" w:tplc="FA24DEF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6A2F"/>
    <w:multiLevelType w:val="hybridMultilevel"/>
    <w:tmpl w:val="AC526C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7BEA"/>
    <w:multiLevelType w:val="hybridMultilevel"/>
    <w:tmpl w:val="CE82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373CA"/>
    <w:multiLevelType w:val="hybridMultilevel"/>
    <w:tmpl w:val="ACAC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56D9E"/>
    <w:multiLevelType w:val="hybridMultilevel"/>
    <w:tmpl w:val="1DD8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01CA"/>
    <w:multiLevelType w:val="multilevel"/>
    <w:tmpl w:val="ABD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50596"/>
    <w:multiLevelType w:val="multilevel"/>
    <w:tmpl w:val="D132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82DB3"/>
    <w:multiLevelType w:val="hybridMultilevel"/>
    <w:tmpl w:val="632CF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F21DE1"/>
    <w:multiLevelType w:val="hybridMultilevel"/>
    <w:tmpl w:val="C98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4C5F"/>
    <w:multiLevelType w:val="hybridMultilevel"/>
    <w:tmpl w:val="8668D3BE"/>
    <w:lvl w:ilvl="0" w:tplc="B6882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97318"/>
    <w:multiLevelType w:val="hybridMultilevel"/>
    <w:tmpl w:val="CD9A1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97160B"/>
    <w:multiLevelType w:val="hybridMultilevel"/>
    <w:tmpl w:val="A40C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C2A8A"/>
    <w:multiLevelType w:val="hybridMultilevel"/>
    <w:tmpl w:val="189EC090"/>
    <w:lvl w:ilvl="0" w:tplc="93E42A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A"/>
    <w:rsid w:val="000359BF"/>
    <w:rsid w:val="00081B22"/>
    <w:rsid w:val="00090891"/>
    <w:rsid w:val="000A5912"/>
    <w:rsid w:val="000A62F1"/>
    <w:rsid w:val="000D3042"/>
    <w:rsid w:val="000E45A7"/>
    <w:rsid w:val="00103252"/>
    <w:rsid w:val="00171490"/>
    <w:rsid w:val="00194406"/>
    <w:rsid w:val="001E5992"/>
    <w:rsid w:val="0021323F"/>
    <w:rsid w:val="00221040"/>
    <w:rsid w:val="0024085B"/>
    <w:rsid w:val="00246615"/>
    <w:rsid w:val="00251E4B"/>
    <w:rsid w:val="00262F5A"/>
    <w:rsid w:val="0027783B"/>
    <w:rsid w:val="002A58E7"/>
    <w:rsid w:val="002B6995"/>
    <w:rsid w:val="002D578D"/>
    <w:rsid w:val="002E0FE3"/>
    <w:rsid w:val="002F0AEB"/>
    <w:rsid w:val="002F0D18"/>
    <w:rsid w:val="002F5238"/>
    <w:rsid w:val="00304F64"/>
    <w:rsid w:val="00305F00"/>
    <w:rsid w:val="0031473A"/>
    <w:rsid w:val="00321F2C"/>
    <w:rsid w:val="003339E9"/>
    <w:rsid w:val="003475A8"/>
    <w:rsid w:val="00373DB5"/>
    <w:rsid w:val="003A5608"/>
    <w:rsid w:val="004075F2"/>
    <w:rsid w:val="00411BAE"/>
    <w:rsid w:val="0041512F"/>
    <w:rsid w:val="00432DF2"/>
    <w:rsid w:val="004537BB"/>
    <w:rsid w:val="00475495"/>
    <w:rsid w:val="00487560"/>
    <w:rsid w:val="004B69C4"/>
    <w:rsid w:val="004B6B0C"/>
    <w:rsid w:val="004C465D"/>
    <w:rsid w:val="004D3D66"/>
    <w:rsid w:val="004E141B"/>
    <w:rsid w:val="004E26CE"/>
    <w:rsid w:val="004E6DE7"/>
    <w:rsid w:val="00511EBB"/>
    <w:rsid w:val="00512E6B"/>
    <w:rsid w:val="00513D59"/>
    <w:rsid w:val="00515FF8"/>
    <w:rsid w:val="0053065E"/>
    <w:rsid w:val="005320FA"/>
    <w:rsid w:val="005516C8"/>
    <w:rsid w:val="005802F3"/>
    <w:rsid w:val="00586A76"/>
    <w:rsid w:val="00594D0E"/>
    <w:rsid w:val="005C75A4"/>
    <w:rsid w:val="005D0FCE"/>
    <w:rsid w:val="005E471A"/>
    <w:rsid w:val="005F6947"/>
    <w:rsid w:val="0063114D"/>
    <w:rsid w:val="006537E4"/>
    <w:rsid w:val="00660F0F"/>
    <w:rsid w:val="00664022"/>
    <w:rsid w:val="006644C8"/>
    <w:rsid w:val="00670AA3"/>
    <w:rsid w:val="00684ECE"/>
    <w:rsid w:val="006A7D16"/>
    <w:rsid w:val="006D02C7"/>
    <w:rsid w:val="006D15E9"/>
    <w:rsid w:val="00701257"/>
    <w:rsid w:val="007125D9"/>
    <w:rsid w:val="00716F49"/>
    <w:rsid w:val="00737043"/>
    <w:rsid w:val="00760D85"/>
    <w:rsid w:val="007613FB"/>
    <w:rsid w:val="00776271"/>
    <w:rsid w:val="00785CD8"/>
    <w:rsid w:val="007A366B"/>
    <w:rsid w:val="007C3D83"/>
    <w:rsid w:val="007C3FE8"/>
    <w:rsid w:val="007C65E7"/>
    <w:rsid w:val="007D025A"/>
    <w:rsid w:val="007D4467"/>
    <w:rsid w:val="007F23B7"/>
    <w:rsid w:val="007F77B3"/>
    <w:rsid w:val="008304CB"/>
    <w:rsid w:val="00831ECF"/>
    <w:rsid w:val="00840CDA"/>
    <w:rsid w:val="008824A1"/>
    <w:rsid w:val="008B69A2"/>
    <w:rsid w:val="008C3A1A"/>
    <w:rsid w:val="008C6834"/>
    <w:rsid w:val="008F24B3"/>
    <w:rsid w:val="008F6BF8"/>
    <w:rsid w:val="00904F5E"/>
    <w:rsid w:val="00907940"/>
    <w:rsid w:val="00925EE5"/>
    <w:rsid w:val="00940ABF"/>
    <w:rsid w:val="00944CDA"/>
    <w:rsid w:val="00993EF7"/>
    <w:rsid w:val="009A21FB"/>
    <w:rsid w:val="009B2985"/>
    <w:rsid w:val="009B313E"/>
    <w:rsid w:val="009B5C0E"/>
    <w:rsid w:val="009C4057"/>
    <w:rsid w:val="009F206C"/>
    <w:rsid w:val="00A03DB2"/>
    <w:rsid w:val="00A235A2"/>
    <w:rsid w:val="00A271F5"/>
    <w:rsid w:val="00A4745C"/>
    <w:rsid w:val="00A87530"/>
    <w:rsid w:val="00AB0DB8"/>
    <w:rsid w:val="00AD249C"/>
    <w:rsid w:val="00AD36EE"/>
    <w:rsid w:val="00B01A18"/>
    <w:rsid w:val="00B16EDA"/>
    <w:rsid w:val="00B270A2"/>
    <w:rsid w:val="00B30D51"/>
    <w:rsid w:val="00B3595C"/>
    <w:rsid w:val="00B447E9"/>
    <w:rsid w:val="00B6725C"/>
    <w:rsid w:val="00B976F3"/>
    <w:rsid w:val="00BB527F"/>
    <w:rsid w:val="00BE4603"/>
    <w:rsid w:val="00BF009E"/>
    <w:rsid w:val="00BF3ED6"/>
    <w:rsid w:val="00C31148"/>
    <w:rsid w:val="00C31D8B"/>
    <w:rsid w:val="00C604C0"/>
    <w:rsid w:val="00C657AE"/>
    <w:rsid w:val="00C70010"/>
    <w:rsid w:val="00C7463A"/>
    <w:rsid w:val="00C75E65"/>
    <w:rsid w:val="00C96C24"/>
    <w:rsid w:val="00CB2294"/>
    <w:rsid w:val="00CC1228"/>
    <w:rsid w:val="00D05065"/>
    <w:rsid w:val="00D35E8D"/>
    <w:rsid w:val="00D645AC"/>
    <w:rsid w:val="00D66C4C"/>
    <w:rsid w:val="00D75931"/>
    <w:rsid w:val="00DA66A4"/>
    <w:rsid w:val="00DB2A65"/>
    <w:rsid w:val="00DB6F81"/>
    <w:rsid w:val="00DC7CFA"/>
    <w:rsid w:val="00DD0B90"/>
    <w:rsid w:val="00DF1D3F"/>
    <w:rsid w:val="00E179BB"/>
    <w:rsid w:val="00E205DC"/>
    <w:rsid w:val="00E274D9"/>
    <w:rsid w:val="00E47874"/>
    <w:rsid w:val="00E53028"/>
    <w:rsid w:val="00E71E60"/>
    <w:rsid w:val="00E7442B"/>
    <w:rsid w:val="00E76E80"/>
    <w:rsid w:val="00E82FC8"/>
    <w:rsid w:val="00E97D44"/>
    <w:rsid w:val="00EA5027"/>
    <w:rsid w:val="00EA5C86"/>
    <w:rsid w:val="00EE6A33"/>
    <w:rsid w:val="00F12A46"/>
    <w:rsid w:val="00F143F8"/>
    <w:rsid w:val="00F243F8"/>
    <w:rsid w:val="00F34FC9"/>
    <w:rsid w:val="00F511EE"/>
    <w:rsid w:val="00F9492D"/>
    <w:rsid w:val="00FA1C0A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68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2A5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4E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7C3FE8"/>
    <w:pPr>
      <w:ind w:left="720"/>
      <w:contextualSpacing/>
    </w:pPr>
  </w:style>
  <w:style w:type="paragraph" w:customStyle="1" w:styleId="Default">
    <w:name w:val="Default"/>
    <w:rsid w:val="007C3F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E7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831ECF"/>
  </w:style>
  <w:style w:type="character" w:styleId="Hyperlink">
    <w:name w:val="Hyperlink"/>
    <w:basedOn w:val="Fontdeparagrafimplicit"/>
    <w:uiPriority w:val="99"/>
    <w:unhideWhenUsed/>
    <w:rsid w:val="00487560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2A58E7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4E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2Caracter">
    <w:name w:val="Titlu 2 Caracter"/>
    <w:basedOn w:val="Fontdeparagrafimplicit"/>
    <w:link w:val="Titlu2"/>
    <w:uiPriority w:val="9"/>
    <w:rsid w:val="0068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unhideWhenUsed/>
    <w:rsid w:val="0090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7940"/>
  </w:style>
  <w:style w:type="paragraph" w:styleId="Subsol">
    <w:name w:val="footer"/>
    <w:basedOn w:val="Normal"/>
    <w:link w:val="SubsolCaracter"/>
    <w:uiPriority w:val="99"/>
    <w:semiHidden/>
    <w:unhideWhenUsed/>
    <w:rsid w:val="0090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7940"/>
  </w:style>
  <w:style w:type="character" w:customStyle="1" w:styleId="ListparagrafCaracter">
    <w:name w:val="Listă paragraf Caracter"/>
    <w:link w:val="Listparagraf"/>
    <w:uiPriority w:val="34"/>
    <w:rsid w:val="008C6834"/>
  </w:style>
  <w:style w:type="character" w:styleId="Robust">
    <w:name w:val="Strong"/>
    <w:basedOn w:val="Fontdeparagrafimplicit"/>
    <w:uiPriority w:val="22"/>
    <w:qFormat/>
    <w:rsid w:val="008C683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206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F20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68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2A5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4E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7C3FE8"/>
    <w:pPr>
      <w:ind w:left="720"/>
      <w:contextualSpacing/>
    </w:pPr>
  </w:style>
  <w:style w:type="paragraph" w:customStyle="1" w:styleId="Default">
    <w:name w:val="Default"/>
    <w:rsid w:val="007C3F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E7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831ECF"/>
  </w:style>
  <w:style w:type="character" w:styleId="Hyperlink">
    <w:name w:val="Hyperlink"/>
    <w:basedOn w:val="Fontdeparagrafimplicit"/>
    <w:uiPriority w:val="99"/>
    <w:unhideWhenUsed/>
    <w:rsid w:val="00487560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2A58E7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4E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2Caracter">
    <w:name w:val="Titlu 2 Caracter"/>
    <w:basedOn w:val="Fontdeparagrafimplicit"/>
    <w:link w:val="Titlu2"/>
    <w:uiPriority w:val="9"/>
    <w:rsid w:val="0068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unhideWhenUsed/>
    <w:rsid w:val="0090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7940"/>
  </w:style>
  <w:style w:type="paragraph" w:styleId="Subsol">
    <w:name w:val="footer"/>
    <w:basedOn w:val="Normal"/>
    <w:link w:val="SubsolCaracter"/>
    <w:uiPriority w:val="99"/>
    <w:semiHidden/>
    <w:unhideWhenUsed/>
    <w:rsid w:val="0090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7940"/>
  </w:style>
  <w:style w:type="character" w:customStyle="1" w:styleId="ListparagrafCaracter">
    <w:name w:val="Listă paragraf Caracter"/>
    <w:link w:val="Listparagraf"/>
    <w:uiPriority w:val="34"/>
    <w:rsid w:val="008C6834"/>
  </w:style>
  <w:style w:type="character" w:styleId="Robust">
    <w:name w:val="Strong"/>
    <w:basedOn w:val="Fontdeparagrafimplicit"/>
    <w:uiPriority w:val="22"/>
    <w:qFormat/>
    <w:rsid w:val="008C683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206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F206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E2CB-15F4-4AE6-AD9F-117C2E66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1819</Words>
  <Characters>10556</Characters>
  <Application>Microsoft Office Word</Application>
  <DocSecurity>0</DocSecurity>
  <Lines>87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7</cp:revision>
  <dcterms:created xsi:type="dcterms:W3CDTF">2015-05-13T14:09:00Z</dcterms:created>
  <dcterms:modified xsi:type="dcterms:W3CDTF">2015-07-02T14:45:00Z</dcterms:modified>
</cp:coreProperties>
</file>